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0B4B9">
      <w:pPr>
        <w:spacing w:line="560" w:lineRule="exact"/>
        <w:jc w:val="center"/>
        <w:outlineLvl w:val="0"/>
        <w:rPr>
          <w:rFonts w:eastAsia="方正小标宋简体"/>
          <w:spacing w:val="-4"/>
          <w:sz w:val="33"/>
          <w:szCs w:val="33"/>
        </w:rPr>
      </w:pPr>
      <w:bookmarkStart w:id="0" w:name="_Toc15396475"/>
      <w:bookmarkStart w:id="1" w:name="_Toc15377193"/>
      <w:bookmarkStart w:id="2" w:name="_Toc15396597"/>
      <w:bookmarkStart w:id="3" w:name="_Toc15306267"/>
      <w:bookmarkStart w:id="4" w:name="_Toc15378441"/>
      <w:bookmarkStart w:id="5" w:name="_Toc15377425"/>
    </w:p>
    <w:p w14:paraId="54DC835D">
      <w:pPr>
        <w:spacing w:line="560" w:lineRule="exact"/>
        <w:jc w:val="center"/>
        <w:outlineLvl w:val="0"/>
        <w:rPr>
          <w:rFonts w:eastAsia="方正小标宋简体"/>
          <w:spacing w:val="-4"/>
          <w:sz w:val="33"/>
          <w:szCs w:val="33"/>
        </w:rPr>
      </w:pPr>
    </w:p>
    <w:p w14:paraId="3A811F51">
      <w:pPr>
        <w:spacing w:line="560" w:lineRule="exact"/>
        <w:jc w:val="center"/>
        <w:outlineLvl w:val="0"/>
        <w:rPr>
          <w:rFonts w:eastAsia="方正小标宋简体"/>
          <w:spacing w:val="-4"/>
          <w:sz w:val="33"/>
          <w:szCs w:val="33"/>
        </w:rPr>
      </w:pPr>
    </w:p>
    <w:bookmarkEnd w:id="0"/>
    <w:bookmarkEnd w:id="1"/>
    <w:bookmarkEnd w:id="2"/>
    <w:bookmarkEnd w:id="3"/>
    <w:bookmarkEnd w:id="4"/>
    <w:bookmarkEnd w:id="5"/>
    <w:p w14:paraId="48C9D85C">
      <w:pPr>
        <w:adjustRightInd w:val="0"/>
        <w:snapToGrid w:val="0"/>
        <w:jc w:val="center"/>
        <w:rPr>
          <w:rFonts w:eastAsia="方正小标宋简体"/>
          <w:sz w:val="72"/>
          <w:szCs w:val="72"/>
        </w:rPr>
      </w:pPr>
      <w:r>
        <w:rPr>
          <w:rFonts w:eastAsia="方正小标宋简体"/>
          <w:sz w:val="72"/>
          <w:szCs w:val="72"/>
        </w:rPr>
        <w:t>2025年度</w:t>
      </w:r>
    </w:p>
    <w:p w14:paraId="614AEC96">
      <w:pPr>
        <w:adjustRightInd w:val="0"/>
        <w:snapToGrid w:val="0"/>
        <w:spacing w:line="1200" w:lineRule="exact"/>
        <w:jc w:val="center"/>
        <w:rPr>
          <w:rFonts w:eastAsia="方正小标宋简体"/>
          <w:sz w:val="72"/>
          <w:szCs w:val="72"/>
        </w:rPr>
      </w:pPr>
      <w:bookmarkStart w:id="6" w:name="_Toc15378442"/>
      <w:bookmarkStart w:id="7" w:name="_Toc15377194"/>
      <w:bookmarkStart w:id="8" w:name="_Toc15306268"/>
      <w:bookmarkStart w:id="9" w:name="_Toc15396476"/>
      <w:bookmarkStart w:id="10" w:name="_Toc15377426"/>
      <w:bookmarkStart w:id="11" w:name="_Toc15396598"/>
      <w:r>
        <w:rPr>
          <w:rFonts w:eastAsia="方正小标宋简体"/>
          <w:sz w:val="72"/>
          <w:szCs w:val="72"/>
        </w:rPr>
        <w:t>攀枝花市科学技术协会</w:t>
      </w:r>
    </w:p>
    <w:p w14:paraId="09AA053B">
      <w:pPr>
        <w:adjustRightInd w:val="0"/>
        <w:snapToGrid w:val="0"/>
        <w:spacing w:line="1200" w:lineRule="exact"/>
        <w:jc w:val="center"/>
        <w:rPr>
          <w:rFonts w:eastAsia="方正小标宋简体"/>
          <w:spacing w:val="-4"/>
          <w:sz w:val="33"/>
          <w:szCs w:val="33"/>
        </w:rPr>
      </w:pPr>
      <w:r>
        <w:rPr>
          <w:rFonts w:hint="eastAsia" w:eastAsia="方正小标宋简体"/>
          <w:sz w:val="72"/>
          <w:szCs w:val="72"/>
        </w:rPr>
        <w:t>单位</w:t>
      </w:r>
      <w:r>
        <w:rPr>
          <w:rFonts w:eastAsia="方正小标宋简体"/>
          <w:sz w:val="72"/>
          <w:szCs w:val="72"/>
        </w:rPr>
        <w:t>决算</w:t>
      </w:r>
      <w:bookmarkEnd w:id="6"/>
      <w:bookmarkEnd w:id="7"/>
      <w:bookmarkEnd w:id="8"/>
      <w:bookmarkEnd w:id="9"/>
      <w:bookmarkEnd w:id="10"/>
      <w:bookmarkEnd w:id="11"/>
      <w:r>
        <w:rPr>
          <w:rFonts w:hint="eastAsia" w:eastAsia="方正小标宋简体"/>
          <w:sz w:val="72"/>
          <w:szCs w:val="72"/>
        </w:rPr>
        <w:t>公开说明</w:t>
      </w:r>
    </w:p>
    <w:p w14:paraId="5D3C2151">
      <w:pPr>
        <w:adjustRightInd w:val="0"/>
        <w:snapToGrid w:val="0"/>
        <w:spacing w:line="1200" w:lineRule="exact"/>
        <w:jc w:val="center"/>
        <w:rPr>
          <w:rFonts w:eastAsia="黑体"/>
          <w:spacing w:val="-4"/>
          <w:sz w:val="33"/>
          <w:szCs w:val="33"/>
        </w:rPr>
      </w:pPr>
      <w:r>
        <w:rPr>
          <w:rFonts w:eastAsia="方正小标宋简体"/>
          <w:spacing w:val="-4"/>
          <w:sz w:val="33"/>
          <w:szCs w:val="33"/>
        </w:rPr>
        <w:br w:type="page"/>
      </w:r>
    </w:p>
    <w:sdt>
      <w:sdtPr>
        <w:rPr>
          <w:rFonts w:ascii="Times New Roman" w:hAnsi="Times New Roman" w:eastAsia="宋体" w:cs="Times New Roman"/>
          <w:color w:val="auto"/>
          <w:spacing w:val="-4"/>
          <w:kern w:val="2"/>
          <w:sz w:val="33"/>
          <w:szCs w:val="33"/>
          <w:lang w:val="zh-CN"/>
        </w:rPr>
        <w:id w:val="30202527"/>
        <w:docPartObj>
          <w:docPartGallery w:val="Table of Contents"/>
          <w:docPartUnique/>
        </w:docPartObj>
      </w:sdtPr>
      <w:sdtEndPr>
        <w:rPr>
          <w:rFonts w:ascii="Times New Roman" w:hAnsi="Times New Roman" w:eastAsia="宋体" w:cs="Times New Roman"/>
          <w:color w:val="auto"/>
          <w:spacing w:val="-4"/>
          <w:kern w:val="2"/>
          <w:sz w:val="33"/>
          <w:szCs w:val="33"/>
          <w:lang w:val="en-US"/>
        </w:rPr>
      </w:sdtEndPr>
      <w:sdtContent>
        <w:p w14:paraId="7B7D295A">
          <w:pPr>
            <w:pStyle w:val="36"/>
            <w:spacing w:line="560" w:lineRule="exact"/>
            <w:jc w:val="center"/>
            <w:rPr>
              <w:rFonts w:ascii="Times New Roman" w:hAnsi="Times New Roman" w:cs="Times New Roman"/>
              <w:spacing w:val="-4"/>
              <w:sz w:val="33"/>
              <w:szCs w:val="33"/>
            </w:rPr>
          </w:pPr>
          <w:r>
            <w:rPr>
              <w:rFonts w:hint="eastAsia" w:ascii="Times New Roman" w:hAnsi="Times New Roman" w:eastAsia="宋体" w:cs="Times New Roman"/>
              <w:color w:val="auto"/>
              <w:spacing w:val="-4"/>
              <w:kern w:val="2"/>
              <w:sz w:val="33"/>
              <w:szCs w:val="33"/>
              <w:lang w:val="zh-CN"/>
            </w:rPr>
            <w:t>目</w:t>
          </w:r>
          <w:r>
            <w:rPr>
              <w:rFonts w:ascii="Times New Roman" w:hAnsi="Times New Roman" w:eastAsia="方正小标宋_GBK" w:cs="Times New Roman"/>
              <w:color w:val="auto"/>
              <w:spacing w:val="-4"/>
              <w:sz w:val="33"/>
              <w:szCs w:val="33"/>
              <w:lang w:val="zh-CN"/>
            </w:rPr>
            <w:t xml:space="preserve">   录</w:t>
          </w:r>
        </w:p>
        <w:p w14:paraId="3DAC32D0">
          <w:pPr>
            <w:pStyle w:val="12"/>
            <w:spacing w:line="560" w:lineRule="exact"/>
            <w:rPr>
              <w:rFonts w:ascii="Times New Roman" w:hAnsi="Times New Roman" w:eastAsia="方正仿宋_GBK"/>
              <w:spacing w:val="-4"/>
              <w:sz w:val="33"/>
              <w:szCs w:val="33"/>
            </w:rPr>
          </w:pPr>
          <w:r>
            <w:rPr>
              <w:rFonts w:ascii="Times New Roman" w:hAnsi="Times New Roman" w:eastAsia="方正仿宋_GBK"/>
              <w:spacing w:val="-4"/>
              <w:sz w:val="33"/>
              <w:szCs w:val="33"/>
            </w:rPr>
            <w:t>公开时间：2026年9月</w:t>
          </w:r>
          <w:r>
            <w:rPr>
              <w:rFonts w:hint="eastAsia" w:ascii="Times New Roman" w:hAnsi="Times New Roman" w:eastAsia="方正仿宋_GBK"/>
              <w:spacing w:val="-4"/>
              <w:sz w:val="33"/>
              <w:szCs w:val="33"/>
              <w:lang w:val="en-US" w:eastAsia="zh-CN"/>
            </w:rPr>
            <w:t>10</w:t>
          </w:r>
          <w:r>
            <w:rPr>
              <w:rFonts w:ascii="Times New Roman" w:hAnsi="Times New Roman" w:eastAsia="方正仿宋_GBK"/>
              <w:spacing w:val="-4"/>
              <w:sz w:val="33"/>
              <w:szCs w:val="33"/>
            </w:rPr>
            <w:t>日</w:t>
          </w:r>
          <w:bookmarkStart w:id="100" w:name="_GoBack"/>
          <w:bookmarkEnd w:id="100"/>
        </w:p>
        <w:p w14:paraId="643C9E89">
          <w:pPr>
            <w:pStyle w:val="13"/>
            <w:tabs>
              <w:tab w:val="right" w:leader="dot" w:pos="8844"/>
              <w:tab w:val="clear" w:pos="8296"/>
            </w:tabs>
          </w:pPr>
          <w:r>
            <w:rPr>
              <w:spacing w:val="-4"/>
              <w:sz w:val="33"/>
              <w:szCs w:val="33"/>
            </w:rPr>
            <w:fldChar w:fldCharType="begin"/>
          </w:r>
          <w:r>
            <w:rPr>
              <w:spacing w:val="-4"/>
              <w:sz w:val="33"/>
              <w:szCs w:val="33"/>
            </w:rPr>
            <w:instrText xml:space="preserve"> TOC \o "1-3" \h \z \u </w:instrText>
          </w:r>
          <w:r>
            <w:rPr>
              <w:spacing w:val="-4"/>
              <w:sz w:val="33"/>
              <w:szCs w:val="33"/>
            </w:rPr>
            <w:fldChar w:fldCharType="separate"/>
          </w:r>
          <w:r>
            <w:fldChar w:fldCharType="begin"/>
          </w:r>
          <w:r>
            <w:instrText xml:space="preserve"> HYPERLINK \l "_Toc5507" </w:instrText>
          </w:r>
          <w:r>
            <w:fldChar w:fldCharType="separate"/>
          </w:r>
          <w:r>
            <w:rPr>
              <w:rFonts w:hAnsi="方正黑体_GBK" w:eastAsia="方正黑体_GBK"/>
              <w:spacing w:val="-4"/>
            </w:rPr>
            <w:t>一、单位职责</w:t>
          </w:r>
          <w:r>
            <w:tab/>
          </w:r>
          <w:r>
            <w:fldChar w:fldCharType="begin"/>
          </w:r>
          <w:r>
            <w:instrText xml:space="preserve"> PAGEREF _Toc5507 \h </w:instrText>
          </w:r>
          <w:r>
            <w:fldChar w:fldCharType="separate"/>
          </w:r>
          <w:r>
            <w:t>3</w:t>
          </w:r>
          <w:r>
            <w:fldChar w:fldCharType="end"/>
          </w:r>
          <w:r>
            <w:fldChar w:fldCharType="end"/>
          </w:r>
        </w:p>
        <w:p w14:paraId="4AD18453">
          <w:pPr>
            <w:pStyle w:val="13"/>
            <w:tabs>
              <w:tab w:val="right" w:leader="dot" w:pos="8844"/>
              <w:tab w:val="clear" w:pos="8296"/>
            </w:tabs>
          </w:pPr>
          <w:r>
            <w:fldChar w:fldCharType="begin"/>
          </w:r>
          <w:r>
            <w:instrText xml:space="preserve"> HYPERLINK \l "_Toc3088" </w:instrText>
          </w:r>
          <w:r>
            <w:fldChar w:fldCharType="separate"/>
          </w:r>
          <w:r>
            <w:rPr>
              <w:rFonts w:hAnsi="方正黑体_GBK" w:eastAsia="方正黑体_GBK"/>
              <w:spacing w:val="-4"/>
            </w:rPr>
            <w:t>二、机构设置</w:t>
          </w:r>
          <w:r>
            <w:tab/>
          </w:r>
          <w:r>
            <w:fldChar w:fldCharType="begin"/>
          </w:r>
          <w:r>
            <w:instrText xml:space="preserve"> PAGEREF _Toc3088 \h </w:instrText>
          </w:r>
          <w:r>
            <w:fldChar w:fldCharType="separate"/>
          </w:r>
          <w:r>
            <w:t>4</w:t>
          </w:r>
          <w:r>
            <w:fldChar w:fldCharType="end"/>
          </w:r>
          <w:r>
            <w:fldChar w:fldCharType="end"/>
          </w:r>
        </w:p>
        <w:p w14:paraId="54CF1383">
          <w:pPr>
            <w:pStyle w:val="12"/>
            <w:tabs>
              <w:tab w:val="right" w:leader="dot" w:pos="8844"/>
              <w:tab w:val="clear" w:pos="8296"/>
            </w:tabs>
          </w:pPr>
          <w:r>
            <w:fldChar w:fldCharType="begin"/>
          </w:r>
          <w:r>
            <w:instrText xml:space="preserve"> HYPERLINK \l "_Toc27898" </w:instrText>
          </w:r>
          <w:r>
            <w:fldChar w:fldCharType="separate"/>
          </w:r>
          <w:r>
            <w:rPr>
              <w:rFonts w:eastAsia="黑体"/>
              <w:spacing w:val="-4"/>
              <w:szCs w:val="33"/>
            </w:rPr>
            <w:t>第二部分 2025年度</w:t>
          </w:r>
          <w:r>
            <w:rPr>
              <w:rFonts w:hint="eastAsia" w:eastAsia="黑体"/>
              <w:bCs/>
              <w:spacing w:val="-4"/>
              <w:szCs w:val="33"/>
            </w:rPr>
            <w:t>单位</w:t>
          </w:r>
          <w:r>
            <w:rPr>
              <w:rFonts w:eastAsia="黑体"/>
              <w:bCs/>
              <w:spacing w:val="-4"/>
              <w:szCs w:val="33"/>
            </w:rPr>
            <w:t>决算情况说明</w:t>
          </w:r>
          <w:r>
            <w:tab/>
          </w:r>
          <w:r>
            <w:fldChar w:fldCharType="begin"/>
          </w:r>
          <w:r>
            <w:instrText xml:space="preserve"> PAGEREF _Toc27898 \h </w:instrText>
          </w:r>
          <w:r>
            <w:fldChar w:fldCharType="separate"/>
          </w:r>
          <w:r>
            <w:t>6</w:t>
          </w:r>
          <w:r>
            <w:fldChar w:fldCharType="end"/>
          </w:r>
          <w:r>
            <w:fldChar w:fldCharType="end"/>
          </w:r>
        </w:p>
        <w:p w14:paraId="345CC94C">
          <w:pPr>
            <w:pStyle w:val="13"/>
            <w:tabs>
              <w:tab w:val="right" w:leader="dot" w:pos="8844"/>
              <w:tab w:val="clear" w:pos="8296"/>
            </w:tabs>
          </w:pPr>
          <w:r>
            <w:fldChar w:fldCharType="begin"/>
          </w:r>
          <w:r>
            <w:instrText xml:space="preserve"> HYPERLINK \l "_Toc18174" </w:instrText>
          </w:r>
          <w:r>
            <w:fldChar w:fldCharType="separate"/>
          </w:r>
          <w:r>
            <w:rPr>
              <w:rFonts w:hint="eastAsia" w:hAnsi="方正黑体_GBK" w:eastAsia="方正黑体_GBK"/>
              <w:spacing w:val="-4"/>
            </w:rPr>
            <w:t>一、</w:t>
          </w:r>
          <w:r>
            <w:rPr>
              <w:rFonts w:hAnsi="方正黑体_GBK" w:eastAsia="方正黑体_GBK"/>
              <w:spacing w:val="-4"/>
            </w:rPr>
            <w:t>收入支出决算总体情况说明</w:t>
          </w:r>
          <w:r>
            <w:tab/>
          </w:r>
          <w:r>
            <w:fldChar w:fldCharType="begin"/>
          </w:r>
          <w:r>
            <w:instrText xml:space="preserve"> PAGEREF _Toc18174 \h </w:instrText>
          </w:r>
          <w:r>
            <w:fldChar w:fldCharType="separate"/>
          </w:r>
          <w:r>
            <w:t>6</w:t>
          </w:r>
          <w:r>
            <w:fldChar w:fldCharType="end"/>
          </w:r>
          <w:r>
            <w:fldChar w:fldCharType="end"/>
          </w:r>
        </w:p>
        <w:p w14:paraId="06FF3435">
          <w:pPr>
            <w:pStyle w:val="13"/>
            <w:tabs>
              <w:tab w:val="right" w:leader="dot" w:pos="8844"/>
              <w:tab w:val="clear" w:pos="8296"/>
            </w:tabs>
          </w:pPr>
          <w:r>
            <w:fldChar w:fldCharType="begin"/>
          </w:r>
          <w:r>
            <w:instrText xml:space="preserve"> HYPERLINK \l "_Toc9056" </w:instrText>
          </w:r>
          <w:r>
            <w:fldChar w:fldCharType="separate"/>
          </w:r>
          <w:r>
            <w:rPr>
              <w:rFonts w:hint="eastAsia" w:hAnsi="方正黑体_GBK" w:eastAsia="方正黑体_GBK"/>
              <w:spacing w:val="-4"/>
            </w:rPr>
            <w:t>二、收入决算情况说明</w:t>
          </w:r>
          <w:r>
            <w:tab/>
          </w:r>
          <w:r>
            <w:fldChar w:fldCharType="begin"/>
          </w:r>
          <w:r>
            <w:instrText xml:space="preserve"> PAGEREF _Toc9056 \h </w:instrText>
          </w:r>
          <w:r>
            <w:fldChar w:fldCharType="separate"/>
          </w:r>
          <w:r>
            <w:t>6</w:t>
          </w:r>
          <w:r>
            <w:fldChar w:fldCharType="end"/>
          </w:r>
          <w:r>
            <w:fldChar w:fldCharType="end"/>
          </w:r>
        </w:p>
        <w:p w14:paraId="7FBEBFC6">
          <w:pPr>
            <w:pStyle w:val="13"/>
            <w:tabs>
              <w:tab w:val="right" w:leader="dot" w:pos="8844"/>
              <w:tab w:val="clear" w:pos="8296"/>
            </w:tabs>
          </w:pPr>
          <w:r>
            <w:fldChar w:fldCharType="begin"/>
          </w:r>
          <w:r>
            <w:instrText xml:space="preserve"> HYPERLINK \l "_Toc27868" </w:instrText>
          </w:r>
          <w:r>
            <w:fldChar w:fldCharType="separate"/>
          </w:r>
          <w:r>
            <w:rPr>
              <w:rFonts w:hint="eastAsia" w:ascii="方正黑体_GBK" w:hAnsi="方正黑体_GBK" w:eastAsia="方正黑体_GBK" w:cs="方正黑体_GBK"/>
              <w:spacing w:val="-4"/>
            </w:rPr>
            <w:t>三、</w:t>
          </w:r>
          <w:r>
            <w:rPr>
              <w:rFonts w:hint="eastAsia" w:ascii="方正黑体_GBK" w:hAnsi="方正黑体_GBK" w:eastAsia="方正黑体_GBK" w:cs="方正黑体_GBK"/>
              <w:spacing w:val="-4"/>
              <w:szCs w:val="32"/>
            </w:rPr>
            <w:t>支</w:t>
          </w:r>
          <w:r>
            <w:rPr>
              <w:rFonts w:hint="eastAsia" w:ascii="方正黑体_GBK" w:hAnsi="方正黑体_GBK" w:eastAsia="方正黑体_GBK" w:cs="方正黑体_GBK"/>
              <w:spacing w:val="-4"/>
            </w:rPr>
            <w:t>出决算情况说明</w:t>
          </w:r>
          <w:r>
            <w:tab/>
          </w:r>
          <w:r>
            <w:fldChar w:fldCharType="begin"/>
          </w:r>
          <w:r>
            <w:instrText xml:space="preserve"> PAGEREF _Toc27868 \h </w:instrText>
          </w:r>
          <w:r>
            <w:fldChar w:fldCharType="separate"/>
          </w:r>
          <w:r>
            <w:t>7</w:t>
          </w:r>
          <w:r>
            <w:fldChar w:fldCharType="end"/>
          </w:r>
          <w:r>
            <w:fldChar w:fldCharType="end"/>
          </w:r>
        </w:p>
        <w:p w14:paraId="1DCDDE96">
          <w:pPr>
            <w:pStyle w:val="13"/>
            <w:tabs>
              <w:tab w:val="right" w:leader="dot" w:pos="8844"/>
              <w:tab w:val="clear" w:pos="8296"/>
            </w:tabs>
          </w:pPr>
          <w:r>
            <w:fldChar w:fldCharType="begin"/>
          </w:r>
          <w:r>
            <w:instrText xml:space="preserve"> HYPERLINK \l "_Toc23215" </w:instrText>
          </w:r>
          <w:r>
            <w:fldChar w:fldCharType="separate"/>
          </w:r>
          <w:r>
            <w:rPr>
              <w:rFonts w:hint="eastAsia" w:ascii="方正黑体_GBK" w:hAnsi="方正黑体_GBK" w:eastAsia="方正黑体_GBK" w:cs="方正黑体_GBK"/>
              <w:spacing w:val="-4"/>
              <w:szCs w:val="32"/>
            </w:rPr>
            <w:t>四、财</w:t>
          </w:r>
          <w:r>
            <w:rPr>
              <w:rFonts w:hint="eastAsia" w:ascii="方正黑体_GBK" w:hAnsi="方正黑体_GBK" w:eastAsia="方正黑体_GBK" w:cs="方正黑体_GBK"/>
              <w:spacing w:val="-4"/>
            </w:rPr>
            <w:t>政拨款收入支出决算总体情况说明</w:t>
          </w:r>
          <w:r>
            <w:tab/>
          </w:r>
          <w:r>
            <w:fldChar w:fldCharType="begin"/>
          </w:r>
          <w:r>
            <w:instrText xml:space="preserve"> PAGEREF _Toc23215 \h </w:instrText>
          </w:r>
          <w:r>
            <w:fldChar w:fldCharType="separate"/>
          </w:r>
          <w:r>
            <w:t>7</w:t>
          </w:r>
          <w:r>
            <w:fldChar w:fldCharType="end"/>
          </w:r>
          <w:r>
            <w:fldChar w:fldCharType="end"/>
          </w:r>
        </w:p>
        <w:p w14:paraId="4051C2AC">
          <w:pPr>
            <w:pStyle w:val="13"/>
            <w:tabs>
              <w:tab w:val="right" w:leader="dot" w:pos="8844"/>
              <w:tab w:val="clear" w:pos="8296"/>
            </w:tabs>
          </w:pPr>
          <w:r>
            <w:fldChar w:fldCharType="begin"/>
          </w:r>
          <w:r>
            <w:instrText xml:space="preserve"> HYPERLINK \l "_Toc16344" </w:instrText>
          </w:r>
          <w:r>
            <w:fldChar w:fldCharType="separate"/>
          </w:r>
          <w:r>
            <w:rPr>
              <w:rFonts w:hint="eastAsia" w:ascii="方正黑体_GBK" w:hAnsi="方正黑体_GBK" w:eastAsia="方正黑体_GBK" w:cs="方正黑体_GBK"/>
              <w:spacing w:val="-4"/>
              <w:szCs w:val="32"/>
            </w:rPr>
            <w:t>五、一</w:t>
          </w:r>
          <w:r>
            <w:rPr>
              <w:rFonts w:hint="eastAsia" w:ascii="方正黑体_GBK" w:hAnsi="方正黑体_GBK" w:eastAsia="方正黑体_GBK" w:cs="方正黑体_GBK"/>
              <w:spacing w:val="-4"/>
            </w:rPr>
            <w:t>般公共预算财政拨款支出决算情况说明</w:t>
          </w:r>
          <w:r>
            <w:tab/>
          </w:r>
          <w:r>
            <w:fldChar w:fldCharType="begin"/>
          </w:r>
          <w:r>
            <w:instrText xml:space="preserve"> PAGEREF _Toc16344 \h </w:instrText>
          </w:r>
          <w:r>
            <w:fldChar w:fldCharType="separate"/>
          </w:r>
          <w:r>
            <w:t>8</w:t>
          </w:r>
          <w:r>
            <w:fldChar w:fldCharType="end"/>
          </w:r>
          <w:r>
            <w:fldChar w:fldCharType="end"/>
          </w:r>
        </w:p>
        <w:p w14:paraId="79E14ACA">
          <w:pPr>
            <w:pStyle w:val="13"/>
            <w:tabs>
              <w:tab w:val="right" w:leader="dot" w:pos="8844"/>
              <w:tab w:val="clear" w:pos="8296"/>
            </w:tabs>
          </w:pPr>
          <w:r>
            <w:fldChar w:fldCharType="begin"/>
          </w:r>
          <w:r>
            <w:instrText xml:space="preserve"> HYPERLINK \l "_Toc7206" </w:instrText>
          </w:r>
          <w:r>
            <w:fldChar w:fldCharType="separate"/>
          </w:r>
          <w:r>
            <w:rPr>
              <w:rFonts w:hint="eastAsia" w:ascii="方正黑体_GBK" w:hAnsi="方正黑体_GBK" w:eastAsia="方正黑体_GBK" w:cs="方正黑体_GBK"/>
              <w:spacing w:val="-4"/>
              <w:szCs w:val="32"/>
            </w:rPr>
            <w:t>六、一</w:t>
          </w:r>
          <w:r>
            <w:rPr>
              <w:rFonts w:hint="eastAsia" w:ascii="方正黑体_GBK" w:hAnsi="方正黑体_GBK" w:eastAsia="方正黑体_GBK" w:cs="方正黑体_GBK"/>
              <w:spacing w:val="-4"/>
            </w:rPr>
            <w:t>般公共预算财政拨款基本支出决算情况说明</w:t>
          </w:r>
          <w:r>
            <w:tab/>
          </w:r>
          <w:r>
            <w:fldChar w:fldCharType="begin"/>
          </w:r>
          <w:r>
            <w:instrText xml:space="preserve"> PAGEREF _Toc7206 \h </w:instrText>
          </w:r>
          <w:r>
            <w:fldChar w:fldCharType="separate"/>
          </w:r>
          <w:r>
            <w:t>11</w:t>
          </w:r>
          <w:r>
            <w:fldChar w:fldCharType="end"/>
          </w:r>
          <w:r>
            <w:fldChar w:fldCharType="end"/>
          </w:r>
        </w:p>
        <w:p w14:paraId="0596DB29">
          <w:pPr>
            <w:pStyle w:val="13"/>
            <w:tabs>
              <w:tab w:val="right" w:leader="dot" w:pos="8844"/>
              <w:tab w:val="clear" w:pos="8296"/>
            </w:tabs>
          </w:pPr>
          <w:r>
            <w:fldChar w:fldCharType="begin"/>
          </w:r>
          <w:r>
            <w:instrText xml:space="preserve"> HYPERLINK \l "_Toc23759" </w:instrText>
          </w:r>
          <w:r>
            <w:fldChar w:fldCharType="separate"/>
          </w:r>
          <w:r>
            <w:rPr>
              <w:rFonts w:hint="eastAsia" w:ascii="方正黑体_GBK" w:hAnsi="方正黑体_GBK" w:eastAsia="方正黑体_GBK" w:cs="方正黑体_GBK"/>
              <w:spacing w:val="-4"/>
              <w:szCs w:val="32"/>
            </w:rPr>
            <w:t>七、</w:t>
          </w:r>
          <w:r>
            <w:rPr>
              <w:rFonts w:hint="eastAsia" w:ascii="方正黑体_GBK" w:hAnsi="方正黑体_GBK" w:eastAsia="方正黑体_GBK" w:cs="方正黑体_GBK"/>
              <w:spacing w:val="-4"/>
            </w:rPr>
            <w:t>财政拨款“三公”经费支出决算情况说明</w:t>
          </w:r>
          <w:r>
            <w:tab/>
          </w:r>
          <w:r>
            <w:fldChar w:fldCharType="begin"/>
          </w:r>
          <w:r>
            <w:instrText xml:space="preserve"> PAGEREF _Toc23759 \h </w:instrText>
          </w:r>
          <w:r>
            <w:fldChar w:fldCharType="separate"/>
          </w:r>
          <w:r>
            <w:t>11</w:t>
          </w:r>
          <w:r>
            <w:fldChar w:fldCharType="end"/>
          </w:r>
          <w:r>
            <w:fldChar w:fldCharType="end"/>
          </w:r>
        </w:p>
        <w:p w14:paraId="20484ACF">
          <w:pPr>
            <w:pStyle w:val="13"/>
            <w:tabs>
              <w:tab w:val="right" w:leader="dot" w:pos="8844"/>
              <w:tab w:val="clear" w:pos="8296"/>
            </w:tabs>
          </w:pPr>
          <w:r>
            <w:fldChar w:fldCharType="begin"/>
          </w:r>
          <w:r>
            <w:instrText xml:space="preserve"> HYPERLINK \l "_Toc28490" </w:instrText>
          </w:r>
          <w:r>
            <w:fldChar w:fldCharType="separate"/>
          </w:r>
          <w:r>
            <w:rPr>
              <w:rFonts w:hint="eastAsia" w:ascii="方正黑体_GBK" w:hAnsi="方正黑体_GBK" w:eastAsia="方正黑体_GBK" w:cs="方正黑体_GBK"/>
              <w:spacing w:val="-4"/>
              <w:szCs w:val="32"/>
            </w:rPr>
            <w:t>八、</w:t>
          </w:r>
          <w:r>
            <w:rPr>
              <w:rFonts w:hint="eastAsia" w:ascii="方正黑体_GBK" w:hAnsi="方正黑体_GBK" w:eastAsia="方正黑体_GBK" w:cs="方正黑体_GBK"/>
              <w:spacing w:val="-4"/>
            </w:rPr>
            <w:t>政府性基金预算支出决算情况说明</w:t>
          </w:r>
          <w:r>
            <w:tab/>
          </w:r>
          <w:r>
            <w:fldChar w:fldCharType="begin"/>
          </w:r>
          <w:r>
            <w:instrText xml:space="preserve"> PAGEREF _Toc28490 \h </w:instrText>
          </w:r>
          <w:r>
            <w:fldChar w:fldCharType="separate"/>
          </w:r>
          <w:r>
            <w:t>13</w:t>
          </w:r>
          <w:r>
            <w:fldChar w:fldCharType="end"/>
          </w:r>
          <w:r>
            <w:fldChar w:fldCharType="end"/>
          </w:r>
        </w:p>
        <w:p w14:paraId="66FC53EA">
          <w:pPr>
            <w:pStyle w:val="13"/>
            <w:tabs>
              <w:tab w:val="right" w:leader="dot" w:pos="8844"/>
              <w:tab w:val="clear" w:pos="8296"/>
            </w:tabs>
          </w:pPr>
          <w:r>
            <w:fldChar w:fldCharType="begin"/>
          </w:r>
          <w:r>
            <w:instrText xml:space="preserve"> HYPERLINK \l "_Toc31463" </w:instrText>
          </w:r>
          <w:r>
            <w:fldChar w:fldCharType="separate"/>
          </w:r>
          <w:r>
            <w:rPr>
              <w:rFonts w:hint="eastAsia" w:ascii="方正黑体_GBK" w:hAnsi="方正黑体_GBK" w:eastAsia="方正黑体_GBK" w:cs="方正黑体_GBK"/>
              <w:spacing w:val="-4"/>
              <w:szCs w:val="32"/>
            </w:rPr>
            <w:t>九、国有资本经营预算支出决算情况说明</w:t>
          </w:r>
          <w:r>
            <w:tab/>
          </w:r>
          <w:r>
            <w:fldChar w:fldCharType="begin"/>
          </w:r>
          <w:r>
            <w:instrText xml:space="preserve"> PAGEREF _Toc31463 \h </w:instrText>
          </w:r>
          <w:r>
            <w:fldChar w:fldCharType="separate"/>
          </w:r>
          <w:r>
            <w:t>13</w:t>
          </w:r>
          <w:r>
            <w:fldChar w:fldCharType="end"/>
          </w:r>
          <w:r>
            <w:fldChar w:fldCharType="end"/>
          </w:r>
        </w:p>
        <w:p w14:paraId="38ABC598">
          <w:pPr>
            <w:pStyle w:val="13"/>
            <w:tabs>
              <w:tab w:val="right" w:leader="dot" w:pos="8844"/>
              <w:tab w:val="clear" w:pos="8296"/>
            </w:tabs>
          </w:pPr>
          <w:r>
            <w:fldChar w:fldCharType="begin"/>
          </w:r>
          <w:r>
            <w:instrText xml:space="preserve"> HYPERLINK \l "_Toc3473" </w:instrText>
          </w:r>
          <w:r>
            <w:fldChar w:fldCharType="separate"/>
          </w:r>
          <w:r>
            <w:rPr>
              <w:rFonts w:hint="eastAsia" w:ascii="方正黑体_GBK" w:hAnsi="方正黑体_GBK" w:eastAsia="方正黑体_GBK" w:cs="方正黑体_GBK"/>
              <w:spacing w:val="-4"/>
            </w:rPr>
            <w:t>十、其他重要事项的情况说明</w:t>
          </w:r>
          <w:r>
            <w:tab/>
          </w:r>
          <w:r>
            <w:fldChar w:fldCharType="begin"/>
          </w:r>
          <w:r>
            <w:instrText xml:space="preserve"> PAGEREF _Toc3473 \h </w:instrText>
          </w:r>
          <w:r>
            <w:fldChar w:fldCharType="separate"/>
          </w:r>
          <w:r>
            <w:t>13</w:t>
          </w:r>
          <w:r>
            <w:fldChar w:fldCharType="end"/>
          </w:r>
          <w:r>
            <w:fldChar w:fldCharType="end"/>
          </w:r>
        </w:p>
        <w:p w14:paraId="079C68DB">
          <w:pPr>
            <w:pStyle w:val="12"/>
            <w:tabs>
              <w:tab w:val="right" w:leader="dot" w:pos="8844"/>
              <w:tab w:val="clear" w:pos="8296"/>
            </w:tabs>
          </w:pPr>
          <w:r>
            <w:fldChar w:fldCharType="begin"/>
          </w:r>
          <w:r>
            <w:instrText xml:space="preserve"> HYPERLINK \l "_Toc30977" </w:instrText>
          </w:r>
          <w:r>
            <w:fldChar w:fldCharType="separate"/>
          </w:r>
          <w:r>
            <w:rPr>
              <w:rFonts w:hint="eastAsia" w:eastAsia="黑体"/>
              <w:spacing w:val="-4"/>
            </w:rPr>
            <w:t xml:space="preserve">第三部分 </w:t>
          </w:r>
          <w:r>
            <w:rPr>
              <w:rFonts w:eastAsia="黑体"/>
              <w:spacing w:val="-4"/>
              <w:szCs w:val="44"/>
            </w:rPr>
            <w:t>名</w:t>
          </w:r>
          <w:r>
            <w:rPr>
              <w:rFonts w:eastAsia="黑体"/>
              <w:spacing w:val="-4"/>
            </w:rPr>
            <w:t>词解释</w:t>
          </w:r>
          <w:r>
            <w:tab/>
          </w:r>
          <w:r>
            <w:fldChar w:fldCharType="begin"/>
          </w:r>
          <w:r>
            <w:instrText xml:space="preserve"> PAGEREF _Toc30977 \h </w:instrText>
          </w:r>
          <w:r>
            <w:fldChar w:fldCharType="separate"/>
          </w:r>
          <w:r>
            <w:t>15</w:t>
          </w:r>
          <w:r>
            <w:fldChar w:fldCharType="end"/>
          </w:r>
          <w:r>
            <w:fldChar w:fldCharType="end"/>
          </w:r>
        </w:p>
        <w:p w14:paraId="5CB5B744">
          <w:pPr>
            <w:pStyle w:val="12"/>
            <w:tabs>
              <w:tab w:val="right" w:leader="dot" w:pos="8844"/>
              <w:tab w:val="clear" w:pos="8296"/>
            </w:tabs>
          </w:pPr>
          <w:r>
            <w:fldChar w:fldCharType="begin"/>
          </w:r>
          <w:r>
            <w:instrText xml:space="preserve"> HYPERLINK \l "_Toc16533" </w:instrText>
          </w:r>
          <w:r>
            <w:fldChar w:fldCharType="separate"/>
          </w:r>
          <w:r>
            <w:rPr>
              <w:rFonts w:eastAsia="方正小标宋_GBK"/>
              <w:spacing w:val="-4"/>
              <w:szCs w:val="44"/>
            </w:rPr>
            <w:t>第</w:t>
          </w:r>
          <w:r>
            <w:rPr>
              <w:rFonts w:eastAsia="方正小标宋_GBK"/>
              <w:spacing w:val="-4"/>
            </w:rPr>
            <w:t>四部分  附件</w:t>
          </w:r>
          <w:r>
            <w:tab/>
          </w:r>
          <w:r>
            <w:fldChar w:fldCharType="begin"/>
          </w:r>
          <w:r>
            <w:instrText xml:space="preserve"> PAGEREF _Toc16533 \h </w:instrText>
          </w:r>
          <w:r>
            <w:fldChar w:fldCharType="separate"/>
          </w:r>
          <w:r>
            <w:t>17</w:t>
          </w:r>
          <w:r>
            <w:fldChar w:fldCharType="end"/>
          </w:r>
          <w:r>
            <w:fldChar w:fldCharType="end"/>
          </w:r>
        </w:p>
        <w:p w14:paraId="46E03FE0">
          <w:pPr>
            <w:pStyle w:val="12"/>
            <w:tabs>
              <w:tab w:val="right" w:leader="dot" w:pos="8844"/>
              <w:tab w:val="clear" w:pos="8296"/>
            </w:tabs>
          </w:pPr>
          <w:r>
            <w:fldChar w:fldCharType="begin"/>
          </w:r>
          <w:r>
            <w:instrText xml:space="preserve"> HYPERLINK \l "_Toc12195" </w:instrText>
          </w:r>
          <w:r>
            <w:fldChar w:fldCharType="separate"/>
          </w:r>
          <w:r>
            <w:rPr>
              <w:rFonts w:eastAsia="黑体"/>
              <w:spacing w:val="-4"/>
              <w:szCs w:val="44"/>
            </w:rPr>
            <w:t>第</w:t>
          </w:r>
          <w:r>
            <w:rPr>
              <w:rFonts w:eastAsia="黑体"/>
              <w:spacing w:val="-4"/>
            </w:rPr>
            <w:t>五部分 附表</w:t>
          </w:r>
          <w:r>
            <w:tab/>
          </w:r>
          <w:r>
            <w:fldChar w:fldCharType="begin"/>
          </w:r>
          <w:r>
            <w:instrText xml:space="preserve"> PAGEREF _Toc12195 \h </w:instrText>
          </w:r>
          <w:r>
            <w:fldChar w:fldCharType="separate"/>
          </w:r>
          <w:r>
            <w:t>18</w:t>
          </w:r>
          <w:r>
            <w:fldChar w:fldCharType="end"/>
          </w:r>
          <w:r>
            <w:fldChar w:fldCharType="end"/>
          </w:r>
        </w:p>
        <w:p w14:paraId="42582CEC">
          <w:pPr>
            <w:pStyle w:val="13"/>
            <w:tabs>
              <w:tab w:val="right" w:leader="dot" w:pos="8844"/>
              <w:tab w:val="clear" w:pos="8296"/>
            </w:tabs>
          </w:pPr>
          <w:r>
            <w:fldChar w:fldCharType="begin"/>
          </w:r>
          <w:r>
            <w:instrText xml:space="preserve"> HYPERLINK \l "_Toc9930" </w:instrText>
          </w:r>
          <w:r>
            <w:fldChar w:fldCharType="separate"/>
          </w:r>
          <w:r>
            <w:rPr>
              <w:rFonts w:eastAsia="方正仿宋_GBK"/>
              <w:spacing w:val="-4"/>
            </w:rPr>
            <w:t>一、收入支出决算总表</w:t>
          </w:r>
          <w:r>
            <w:tab/>
          </w:r>
          <w:r>
            <w:fldChar w:fldCharType="begin"/>
          </w:r>
          <w:r>
            <w:instrText xml:space="preserve"> PAGEREF _Toc9930 \h </w:instrText>
          </w:r>
          <w:r>
            <w:fldChar w:fldCharType="separate"/>
          </w:r>
          <w:r>
            <w:t>18</w:t>
          </w:r>
          <w:r>
            <w:fldChar w:fldCharType="end"/>
          </w:r>
          <w:r>
            <w:fldChar w:fldCharType="end"/>
          </w:r>
        </w:p>
        <w:p w14:paraId="2DF5C9B4">
          <w:pPr>
            <w:pStyle w:val="13"/>
            <w:tabs>
              <w:tab w:val="right" w:leader="dot" w:pos="8844"/>
              <w:tab w:val="clear" w:pos="8296"/>
            </w:tabs>
          </w:pPr>
          <w:r>
            <w:fldChar w:fldCharType="begin"/>
          </w:r>
          <w:r>
            <w:instrText xml:space="preserve"> HYPERLINK \l "_Toc29516" </w:instrText>
          </w:r>
          <w:r>
            <w:fldChar w:fldCharType="separate"/>
          </w:r>
          <w:r>
            <w:rPr>
              <w:rFonts w:eastAsia="方正仿宋_GBK"/>
              <w:spacing w:val="-4"/>
            </w:rPr>
            <w:t>二、收入决算表</w:t>
          </w:r>
          <w:r>
            <w:tab/>
          </w:r>
          <w:r>
            <w:fldChar w:fldCharType="begin"/>
          </w:r>
          <w:r>
            <w:instrText xml:space="preserve"> PAGEREF _Toc29516 \h </w:instrText>
          </w:r>
          <w:r>
            <w:fldChar w:fldCharType="separate"/>
          </w:r>
          <w:r>
            <w:t>18</w:t>
          </w:r>
          <w:r>
            <w:fldChar w:fldCharType="end"/>
          </w:r>
          <w:r>
            <w:fldChar w:fldCharType="end"/>
          </w:r>
        </w:p>
        <w:p w14:paraId="3D4FF33D">
          <w:pPr>
            <w:pStyle w:val="13"/>
            <w:tabs>
              <w:tab w:val="right" w:leader="dot" w:pos="8844"/>
              <w:tab w:val="clear" w:pos="8296"/>
            </w:tabs>
          </w:pPr>
          <w:r>
            <w:fldChar w:fldCharType="begin"/>
          </w:r>
          <w:r>
            <w:instrText xml:space="preserve"> HYPERLINK \l "_Toc15122" </w:instrText>
          </w:r>
          <w:r>
            <w:fldChar w:fldCharType="separate"/>
          </w:r>
          <w:r>
            <w:rPr>
              <w:rFonts w:eastAsia="方正仿宋_GBK"/>
              <w:spacing w:val="-4"/>
            </w:rPr>
            <w:t>三、支出决算表</w:t>
          </w:r>
          <w:r>
            <w:tab/>
          </w:r>
          <w:r>
            <w:fldChar w:fldCharType="begin"/>
          </w:r>
          <w:r>
            <w:instrText xml:space="preserve"> PAGEREF _Toc15122 \h </w:instrText>
          </w:r>
          <w:r>
            <w:fldChar w:fldCharType="separate"/>
          </w:r>
          <w:r>
            <w:t>18</w:t>
          </w:r>
          <w:r>
            <w:fldChar w:fldCharType="end"/>
          </w:r>
          <w:r>
            <w:fldChar w:fldCharType="end"/>
          </w:r>
        </w:p>
        <w:p w14:paraId="055AB150">
          <w:pPr>
            <w:pStyle w:val="13"/>
            <w:tabs>
              <w:tab w:val="right" w:leader="dot" w:pos="8844"/>
              <w:tab w:val="clear" w:pos="8296"/>
            </w:tabs>
          </w:pPr>
          <w:r>
            <w:fldChar w:fldCharType="begin"/>
          </w:r>
          <w:r>
            <w:instrText xml:space="preserve"> HYPERLINK \l "_Toc21072" </w:instrText>
          </w:r>
          <w:r>
            <w:fldChar w:fldCharType="separate"/>
          </w:r>
          <w:r>
            <w:rPr>
              <w:rFonts w:eastAsia="方正仿宋_GBK"/>
              <w:spacing w:val="-4"/>
            </w:rPr>
            <w:t>四、财政拨款收入支出决算总表</w:t>
          </w:r>
          <w:r>
            <w:tab/>
          </w:r>
          <w:r>
            <w:fldChar w:fldCharType="begin"/>
          </w:r>
          <w:r>
            <w:instrText xml:space="preserve"> PAGEREF _Toc21072 \h </w:instrText>
          </w:r>
          <w:r>
            <w:fldChar w:fldCharType="separate"/>
          </w:r>
          <w:r>
            <w:t>18</w:t>
          </w:r>
          <w:r>
            <w:fldChar w:fldCharType="end"/>
          </w:r>
          <w:r>
            <w:fldChar w:fldCharType="end"/>
          </w:r>
        </w:p>
        <w:p w14:paraId="1E290410">
          <w:pPr>
            <w:pStyle w:val="13"/>
            <w:tabs>
              <w:tab w:val="right" w:leader="dot" w:pos="8844"/>
              <w:tab w:val="clear" w:pos="8296"/>
            </w:tabs>
          </w:pPr>
          <w:r>
            <w:fldChar w:fldCharType="begin"/>
          </w:r>
          <w:r>
            <w:instrText xml:space="preserve"> HYPERLINK \l "_Toc7574" </w:instrText>
          </w:r>
          <w:r>
            <w:fldChar w:fldCharType="separate"/>
          </w:r>
          <w:r>
            <w:rPr>
              <w:rFonts w:eastAsia="方正仿宋_GBK"/>
              <w:spacing w:val="-4"/>
            </w:rPr>
            <w:t>五、财政拨款支出决算明细表</w:t>
          </w:r>
          <w:r>
            <w:tab/>
          </w:r>
          <w:r>
            <w:fldChar w:fldCharType="begin"/>
          </w:r>
          <w:r>
            <w:instrText xml:space="preserve"> PAGEREF _Toc7574 \h </w:instrText>
          </w:r>
          <w:r>
            <w:fldChar w:fldCharType="separate"/>
          </w:r>
          <w:r>
            <w:t>18</w:t>
          </w:r>
          <w:r>
            <w:fldChar w:fldCharType="end"/>
          </w:r>
          <w:r>
            <w:fldChar w:fldCharType="end"/>
          </w:r>
        </w:p>
        <w:p w14:paraId="6F227101">
          <w:pPr>
            <w:pStyle w:val="13"/>
            <w:tabs>
              <w:tab w:val="right" w:leader="dot" w:pos="8844"/>
              <w:tab w:val="clear" w:pos="8296"/>
            </w:tabs>
          </w:pPr>
          <w:r>
            <w:fldChar w:fldCharType="begin"/>
          </w:r>
          <w:r>
            <w:instrText xml:space="preserve"> HYPERLINK \l "_Toc12974" </w:instrText>
          </w:r>
          <w:r>
            <w:fldChar w:fldCharType="separate"/>
          </w:r>
          <w:r>
            <w:rPr>
              <w:rFonts w:eastAsia="方正仿宋_GBK"/>
              <w:spacing w:val="-4"/>
            </w:rPr>
            <w:t>六、一般公共预算财政拨款支出决算表</w:t>
          </w:r>
          <w:r>
            <w:tab/>
          </w:r>
          <w:r>
            <w:fldChar w:fldCharType="begin"/>
          </w:r>
          <w:r>
            <w:instrText xml:space="preserve"> PAGEREF _Toc12974 \h </w:instrText>
          </w:r>
          <w:r>
            <w:fldChar w:fldCharType="separate"/>
          </w:r>
          <w:r>
            <w:t>18</w:t>
          </w:r>
          <w:r>
            <w:fldChar w:fldCharType="end"/>
          </w:r>
          <w:r>
            <w:fldChar w:fldCharType="end"/>
          </w:r>
        </w:p>
        <w:p w14:paraId="469C31AF">
          <w:pPr>
            <w:pStyle w:val="13"/>
            <w:tabs>
              <w:tab w:val="right" w:leader="dot" w:pos="8844"/>
              <w:tab w:val="clear" w:pos="8296"/>
            </w:tabs>
          </w:pPr>
          <w:r>
            <w:fldChar w:fldCharType="begin"/>
          </w:r>
          <w:r>
            <w:instrText xml:space="preserve"> HYPERLINK \l "_Toc20694" </w:instrText>
          </w:r>
          <w:r>
            <w:fldChar w:fldCharType="separate"/>
          </w:r>
          <w:r>
            <w:rPr>
              <w:rFonts w:eastAsia="方正仿宋_GBK"/>
              <w:spacing w:val="-4"/>
            </w:rPr>
            <w:t>七、一般公共预算财政拨款支出决算明细表</w:t>
          </w:r>
          <w:r>
            <w:tab/>
          </w:r>
          <w:r>
            <w:fldChar w:fldCharType="begin"/>
          </w:r>
          <w:r>
            <w:instrText xml:space="preserve"> PAGEREF _Toc20694 \h </w:instrText>
          </w:r>
          <w:r>
            <w:fldChar w:fldCharType="separate"/>
          </w:r>
          <w:r>
            <w:t>18</w:t>
          </w:r>
          <w:r>
            <w:fldChar w:fldCharType="end"/>
          </w:r>
          <w:r>
            <w:fldChar w:fldCharType="end"/>
          </w:r>
        </w:p>
        <w:p w14:paraId="48D191B3">
          <w:pPr>
            <w:pStyle w:val="13"/>
            <w:tabs>
              <w:tab w:val="right" w:leader="dot" w:pos="8844"/>
              <w:tab w:val="clear" w:pos="8296"/>
            </w:tabs>
          </w:pPr>
          <w:r>
            <w:fldChar w:fldCharType="begin"/>
          </w:r>
          <w:r>
            <w:instrText xml:space="preserve"> HYPERLINK \l "_Toc22400" </w:instrText>
          </w:r>
          <w:r>
            <w:fldChar w:fldCharType="separate"/>
          </w:r>
          <w:r>
            <w:rPr>
              <w:rFonts w:eastAsia="方正仿宋_GBK"/>
              <w:spacing w:val="-4"/>
            </w:rPr>
            <w:t>八、一般公共预算财政拨款基本支出决算表</w:t>
          </w:r>
          <w:r>
            <w:tab/>
          </w:r>
          <w:r>
            <w:fldChar w:fldCharType="begin"/>
          </w:r>
          <w:r>
            <w:instrText xml:space="preserve"> PAGEREF _Toc22400 \h </w:instrText>
          </w:r>
          <w:r>
            <w:fldChar w:fldCharType="separate"/>
          </w:r>
          <w:r>
            <w:t>18</w:t>
          </w:r>
          <w:r>
            <w:fldChar w:fldCharType="end"/>
          </w:r>
          <w:r>
            <w:fldChar w:fldCharType="end"/>
          </w:r>
        </w:p>
        <w:p w14:paraId="31F3FBE9">
          <w:pPr>
            <w:pStyle w:val="13"/>
            <w:tabs>
              <w:tab w:val="right" w:leader="dot" w:pos="8844"/>
              <w:tab w:val="clear" w:pos="8296"/>
            </w:tabs>
          </w:pPr>
          <w:r>
            <w:fldChar w:fldCharType="begin"/>
          </w:r>
          <w:r>
            <w:instrText xml:space="preserve"> HYPERLINK \l "_Toc29646" </w:instrText>
          </w:r>
          <w:r>
            <w:fldChar w:fldCharType="separate"/>
          </w:r>
          <w:r>
            <w:rPr>
              <w:rFonts w:eastAsia="方正仿宋_GBK"/>
              <w:spacing w:val="-4"/>
            </w:rPr>
            <w:t>九、一般公共预算财政拨款项目支出决算表</w:t>
          </w:r>
          <w:r>
            <w:tab/>
          </w:r>
          <w:r>
            <w:fldChar w:fldCharType="begin"/>
          </w:r>
          <w:r>
            <w:instrText xml:space="preserve"> PAGEREF _Toc29646 \h </w:instrText>
          </w:r>
          <w:r>
            <w:fldChar w:fldCharType="separate"/>
          </w:r>
          <w:r>
            <w:t>18</w:t>
          </w:r>
          <w:r>
            <w:fldChar w:fldCharType="end"/>
          </w:r>
          <w:r>
            <w:fldChar w:fldCharType="end"/>
          </w:r>
        </w:p>
        <w:p w14:paraId="0280A2ED">
          <w:pPr>
            <w:pStyle w:val="13"/>
            <w:tabs>
              <w:tab w:val="right" w:leader="dot" w:pos="8844"/>
              <w:tab w:val="clear" w:pos="8296"/>
            </w:tabs>
          </w:pPr>
          <w:r>
            <w:fldChar w:fldCharType="begin"/>
          </w:r>
          <w:r>
            <w:instrText xml:space="preserve"> HYPERLINK \l "_Toc21232" </w:instrText>
          </w:r>
          <w:r>
            <w:fldChar w:fldCharType="separate"/>
          </w:r>
          <w:r>
            <w:rPr>
              <w:rFonts w:eastAsia="方正仿宋_GBK"/>
              <w:spacing w:val="-4"/>
            </w:rPr>
            <w:t>十、政府性基金预算财政拨款收入支出决算表</w:t>
          </w:r>
          <w:r>
            <w:tab/>
          </w:r>
          <w:r>
            <w:fldChar w:fldCharType="begin"/>
          </w:r>
          <w:r>
            <w:instrText xml:space="preserve"> PAGEREF _Toc21232 \h </w:instrText>
          </w:r>
          <w:r>
            <w:fldChar w:fldCharType="separate"/>
          </w:r>
          <w:r>
            <w:t>18</w:t>
          </w:r>
          <w:r>
            <w:fldChar w:fldCharType="end"/>
          </w:r>
          <w:r>
            <w:fldChar w:fldCharType="end"/>
          </w:r>
        </w:p>
        <w:p w14:paraId="3A9F7914">
          <w:pPr>
            <w:pStyle w:val="13"/>
            <w:tabs>
              <w:tab w:val="right" w:leader="dot" w:pos="8844"/>
              <w:tab w:val="clear" w:pos="8296"/>
            </w:tabs>
          </w:pPr>
          <w:r>
            <w:fldChar w:fldCharType="begin"/>
          </w:r>
          <w:r>
            <w:instrText xml:space="preserve"> HYPERLINK \l "_Toc2714" </w:instrText>
          </w:r>
          <w:r>
            <w:fldChar w:fldCharType="separate"/>
          </w:r>
          <w:r>
            <w:rPr>
              <w:rFonts w:eastAsia="方正仿宋_GBK"/>
              <w:spacing w:val="-4"/>
            </w:rPr>
            <w:t>十一、国有资本经营预算财政拨款收入支出决算表</w:t>
          </w:r>
          <w:r>
            <w:tab/>
          </w:r>
          <w:r>
            <w:fldChar w:fldCharType="begin"/>
          </w:r>
          <w:r>
            <w:instrText xml:space="preserve"> PAGEREF _Toc2714 \h </w:instrText>
          </w:r>
          <w:r>
            <w:fldChar w:fldCharType="separate"/>
          </w:r>
          <w:r>
            <w:t>18</w:t>
          </w:r>
          <w:r>
            <w:fldChar w:fldCharType="end"/>
          </w:r>
          <w:r>
            <w:fldChar w:fldCharType="end"/>
          </w:r>
        </w:p>
        <w:p w14:paraId="7D1BA510">
          <w:pPr>
            <w:pStyle w:val="13"/>
            <w:tabs>
              <w:tab w:val="right" w:leader="dot" w:pos="8844"/>
              <w:tab w:val="clear" w:pos="8296"/>
            </w:tabs>
          </w:pPr>
          <w:r>
            <w:fldChar w:fldCharType="begin"/>
          </w:r>
          <w:r>
            <w:instrText xml:space="preserve"> HYPERLINK \l "_Toc20698" </w:instrText>
          </w:r>
          <w:r>
            <w:fldChar w:fldCharType="separate"/>
          </w:r>
          <w:r>
            <w:rPr>
              <w:rFonts w:eastAsia="方正仿宋_GBK"/>
              <w:spacing w:val="-4"/>
            </w:rPr>
            <w:t>十二、国有资本经营预算财政拨款支出决算表</w:t>
          </w:r>
          <w:r>
            <w:tab/>
          </w:r>
          <w:r>
            <w:fldChar w:fldCharType="begin"/>
          </w:r>
          <w:r>
            <w:instrText xml:space="preserve"> PAGEREF _Toc20698 \h </w:instrText>
          </w:r>
          <w:r>
            <w:fldChar w:fldCharType="separate"/>
          </w:r>
          <w:r>
            <w:t>18</w:t>
          </w:r>
          <w:r>
            <w:fldChar w:fldCharType="end"/>
          </w:r>
          <w:r>
            <w:fldChar w:fldCharType="end"/>
          </w:r>
        </w:p>
        <w:p w14:paraId="0745DE62">
          <w:pPr>
            <w:pStyle w:val="13"/>
            <w:tabs>
              <w:tab w:val="right" w:leader="dot" w:pos="8844"/>
              <w:tab w:val="clear" w:pos="8296"/>
            </w:tabs>
          </w:pPr>
          <w:r>
            <w:fldChar w:fldCharType="begin"/>
          </w:r>
          <w:r>
            <w:instrText xml:space="preserve"> HYPERLINK \l "_Toc12559" </w:instrText>
          </w:r>
          <w:r>
            <w:fldChar w:fldCharType="separate"/>
          </w:r>
          <w:r>
            <w:rPr>
              <w:rFonts w:eastAsia="方正仿宋_GBK"/>
              <w:spacing w:val="-4"/>
            </w:rPr>
            <w:t>十三、财政拨款“三公”经费支出决算表</w:t>
          </w:r>
          <w:r>
            <w:tab/>
          </w:r>
          <w:r>
            <w:fldChar w:fldCharType="begin"/>
          </w:r>
          <w:r>
            <w:instrText xml:space="preserve"> PAGEREF _Toc12559 \h </w:instrText>
          </w:r>
          <w:r>
            <w:fldChar w:fldCharType="separate"/>
          </w:r>
          <w:r>
            <w:t>18</w:t>
          </w:r>
          <w:r>
            <w:fldChar w:fldCharType="end"/>
          </w:r>
          <w:r>
            <w:fldChar w:fldCharType="end"/>
          </w:r>
        </w:p>
        <w:p w14:paraId="08ED3A25">
          <w:pPr>
            <w:spacing w:line="560" w:lineRule="exact"/>
            <w:rPr>
              <w:spacing w:val="-4"/>
              <w:sz w:val="33"/>
              <w:szCs w:val="33"/>
            </w:rPr>
          </w:pPr>
          <w:r>
            <w:rPr>
              <w:spacing w:val="-4"/>
              <w:szCs w:val="33"/>
            </w:rPr>
            <w:fldChar w:fldCharType="end"/>
          </w:r>
        </w:p>
      </w:sdtContent>
    </w:sdt>
    <w:p w14:paraId="31D0A1D7">
      <w:pPr>
        <w:widowControl/>
        <w:jc w:val="center"/>
        <w:rPr>
          <w:rFonts w:eastAsia="黑体"/>
          <w:spacing w:val="-4"/>
          <w:sz w:val="44"/>
          <w:szCs w:val="44"/>
        </w:rPr>
      </w:pPr>
      <w:bookmarkStart w:id="12" w:name="_Toc15377196"/>
      <w:bookmarkStart w:id="13" w:name="_Toc15396599"/>
      <w:r>
        <w:rPr>
          <w:rFonts w:eastAsia="黑体"/>
          <w:spacing w:val="-4"/>
          <w:sz w:val="44"/>
          <w:szCs w:val="44"/>
        </w:rPr>
        <w:t xml:space="preserve">第一部分  </w:t>
      </w:r>
      <w:r>
        <w:rPr>
          <w:rStyle w:val="29"/>
          <w:rFonts w:eastAsia="黑体"/>
          <w:b w:val="0"/>
          <w:bCs w:val="0"/>
          <w:spacing w:val="-4"/>
        </w:rPr>
        <w:t>单位概况</w:t>
      </w:r>
      <w:bookmarkEnd w:id="12"/>
      <w:bookmarkEnd w:id="13"/>
    </w:p>
    <w:p w14:paraId="7B5E70FD">
      <w:pPr>
        <w:pStyle w:val="4"/>
        <w:spacing w:before="0" w:after="0" w:line="560" w:lineRule="exact"/>
        <w:ind w:firstLine="624" w:firstLineChars="200"/>
        <w:rPr>
          <w:rFonts w:ascii="Times New Roman" w:hAnsi="Times New Roman" w:eastAsia="方正黑体_GBK" w:cs="Times New Roman"/>
          <w:b w:val="0"/>
          <w:spacing w:val="-4"/>
        </w:rPr>
      </w:pPr>
      <w:bookmarkStart w:id="14" w:name="_Toc5507"/>
      <w:r>
        <w:rPr>
          <w:rFonts w:ascii="Times New Roman" w:hAnsi="方正黑体_GBK" w:eastAsia="方正黑体_GBK" w:cs="Times New Roman"/>
          <w:b w:val="0"/>
          <w:spacing w:val="-4"/>
        </w:rPr>
        <w:t>一、单位职责</w:t>
      </w:r>
      <w:bookmarkEnd w:id="14"/>
    </w:p>
    <w:p w14:paraId="07DBBFBE">
      <w:pPr>
        <w:spacing w:line="560" w:lineRule="exact"/>
        <w:ind w:firstLine="624" w:firstLineChars="200"/>
        <w:rPr>
          <w:rFonts w:eastAsia="方正仿宋_GBK"/>
          <w:spacing w:val="-4"/>
          <w:sz w:val="32"/>
          <w:szCs w:val="32"/>
        </w:rPr>
      </w:pPr>
      <w:r>
        <w:rPr>
          <w:rFonts w:eastAsia="方正仿宋_GBK"/>
          <w:spacing w:val="-4"/>
          <w:sz w:val="32"/>
          <w:szCs w:val="32"/>
        </w:rPr>
        <w:t>攀枝花市科学技术协会是攀枝花市科学技术工作者的群众组织，是中国共产党攀枝花市委员会领导下的人民团体，是党和政府联系科学技术工作者的桥梁和纽带，是推动科学技术事业发展的重要力量。其主要工作任务是：</w:t>
      </w:r>
    </w:p>
    <w:p w14:paraId="3DC910AD">
      <w:pPr>
        <w:spacing w:line="560" w:lineRule="exact"/>
        <w:ind w:firstLine="624" w:firstLineChars="200"/>
        <w:rPr>
          <w:rFonts w:eastAsia="方正仿宋_GBK"/>
          <w:spacing w:val="-4"/>
          <w:sz w:val="32"/>
          <w:szCs w:val="32"/>
        </w:rPr>
      </w:pPr>
      <w:r>
        <w:rPr>
          <w:rFonts w:eastAsia="方正仿宋_GBK"/>
          <w:spacing w:val="-4"/>
          <w:sz w:val="32"/>
          <w:szCs w:val="32"/>
        </w:rPr>
        <w:t>1．密切联系科学技术工作者，宣传党的路线方针政策，反映科学技术工作者的建议、意见和诉求，维护科学技术工作者的合法权益，建设科技工作者之家。</w:t>
      </w:r>
    </w:p>
    <w:p w14:paraId="6BC30A88">
      <w:pPr>
        <w:spacing w:line="560" w:lineRule="exact"/>
        <w:ind w:firstLine="624" w:firstLineChars="200"/>
        <w:rPr>
          <w:rFonts w:eastAsia="方正仿宋_GBK"/>
          <w:spacing w:val="-4"/>
          <w:sz w:val="32"/>
          <w:szCs w:val="32"/>
        </w:rPr>
      </w:pPr>
      <w:r>
        <w:rPr>
          <w:rFonts w:eastAsia="方正仿宋_GBK"/>
          <w:spacing w:val="-4"/>
          <w:sz w:val="32"/>
          <w:szCs w:val="32"/>
        </w:rPr>
        <w:t>2．开展学术交流，活跃学术思想，倡导学术民主，优化学术环境，促进学科发展，推进创新体系建设。</w:t>
      </w:r>
    </w:p>
    <w:p w14:paraId="759A08F7">
      <w:pPr>
        <w:spacing w:line="560" w:lineRule="exact"/>
        <w:ind w:firstLine="624" w:firstLineChars="200"/>
        <w:rPr>
          <w:rFonts w:eastAsia="方正仿宋_GBK"/>
          <w:spacing w:val="-4"/>
          <w:sz w:val="32"/>
          <w:szCs w:val="32"/>
        </w:rPr>
      </w:pPr>
      <w:r>
        <w:rPr>
          <w:rFonts w:eastAsia="方正仿宋_GBK"/>
          <w:spacing w:val="-4"/>
          <w:sz w:val="32"/>
          <w:szCs w:val="32"/>
        </w:rPr>
        <w:t>3．组织科学技术工作者开展科技创新，参与科学论证和咨询服务，加快科技成果转化应用，助力创新发展，为增强企业自主创新能力作贡献。</w:t>
      </w:r>
    </w:p>
    <w:p w14:paraId="6FA13F56">
      <w:pPr>
        <w:spacing w:line="560" w:lineRule="exact"/>
        <w:ind w:firstLine="624" w:firstLineChars="200"/>
        <w:rPr>
          <w:rFonts w:eastAsia="方正仿宋_GBK"/>
          <w:spacing w:val="-4"/>
          <w:sz w:val="32"/>
          <w:szCs w:val="32"/>
        </w:rPr>
      </w:pPr>
      <w:r>
        <w:rPr>
          <w:rFonts w:eastAsia="方正仿宋_GBK"/>
          <w:spacing w:val="-4"/>
          <w:sz w:val="32"/>
          <w:szCs w:val="32"/>
        </w:rPr>
        <w:t>4．弘扬科学精神，普及科学知识，推广先进技术，捍卫科学尊严，提高全民科学素质。</w:t>
      </w:r>
    </w:p>
    <w:p w14:paraId="75236F1A">
      <w:pPr>
        <w:spacing w:line="560" w:lineRule="exact"/>
        <w:ind w:firstLine="624" w:firstLineChars="200"/>
        <w:rPr>
          <w:rFonts w:eastAsia="方正仿宋_GBK"/>
          <w:spacing w:val="-4"/>
          <w:sz w:val="32"/>
          <w:szCs w:val="32"/>
        </w:rPr>
      </w:pPr>
      <w:r>
        <w:rPr>
          <w:rFonts w:eastAsia="方正仿宋_GBK"/>
          <w:spacing w:val="-4"/>
          <w:sz w:val="32"/>
          <w:szCs w:val="32"/>
        </w:rPr>
        <w:t>5．健全科学共同体的自律功能，推动建立和完善科学研究诚信监督机制，促进科学道德建设和学风建设，宣传优秀科学技术工作者，培育科学文化,践行社会主义核心价值观。</w:t>
      </w:r>
    </w:p>
    <w:p w14:paraId="4AF11234">
      <w:pPr>
        <w:spacing w:line="560" w:lineRule="exact"/>
        <w:ind w:firstLine="624" w:firstLineChars="200"/>
        <w:rPr>
          <w:rFonts w:eastAsia="方正仿宋_GBK"/>
          <w:spacing w:val="-4"/>
          <w:sz w:val="32"/>
          <w:szCs w:val="32"/>
        </w:rPr>
      </w:pPr>
      <w:r>
        <w:rPr>
          <w:rFonts w:eastAsia="方正仿宋_GBK"/>
          <w:spacing w:val="-4"/>
          <w:sz w:val="32"/>
          <w:szCs w:val="32"/>
        </w:rPr>
        <w:t>6．组织科学技术工作者参与科技战略、规划、布局、政策、法律法规的咨询制定和有关社会事务的政治协商、科学决策、民主监督工作，建设高水平科技创新智库。</w:t>
      </w:r>
    </w:p>
    <w:p w14:paraId="7851E751">
      <w:pPr>
        <w:spacing w:line="560" w:lineRule="exact"/>
        <w:ind w:firstLine="624" w:firstLineChars="200"/>
        <w:rPr>
          <w:rFonts w:eastAsia="方正仿宋_GBK"/>
          <w:spacing w:val="-4"/>
          <w:sz w:val="32"/>
          <w:szCs w:val="32"/>
        </w:rPr>
      </w:pPr>
      <w:r>
        <w:rPr>
          <w:rFonts w:eastAsia="方正仿宋_GBK"/>
          <w:spacing w:val="-4"/>
          <w:sz w:val="32"/>
          <w:szCs w:val="32"/>
        </w:rPr>
        <w:t>7．组织所属学会有序承接科技评估、工程技术领域职业资格认定、职称评定、科技标准研制、科技成果评价、科技奖励推荐等政府委托工作或职能转移。</w:t>
      </w:r>
    </w:p>
    <w:p w14:paraId="07ACAAB7">
      <w:pPr>
        <w:spacing w:line="560" w:lineRule="exact"/>
        <w:ind w:firstLine="624" w:firstLineChars="200"/>
        <w:rPr>
          <w:rFonts w:eastAsia="方正仿宋_GBK"/>
          <w:spacing w:val="-4"/>
          <w:sz w:val="32"/>
          <w:szCs w:val="32"/>
        </w:rPr>
      </w:pPr>
      <w:r>
        <w:rPr>
          <w:rFonts w:eastAsia="方正仿宋_GBK"/>
          <w:spacing w:val="-4"/>
          <w:sz w:val="32"/>
          <w:szCs w:val="32"/>
        </w:rPr>
        <w:t>8．注重激发青少年科技兴趣，发现培养杰出青年科技工作者和创新团队，推荐表彰奖励优秀科学技术工作者，举荐科学技术人才。</w:t>
      </w:r>
    </w:p>
    <w:p w14:paraId="3B84FB62">
      <w:pPr>
        <w:spacing w:line="560" w:lineRule="exact"/>
        <w:ind w:firstLine="624" w:firstLineChars="200"/>
        <w:rPr>
          <w:rFonts w:eastAsia="方正仿宋_GBK"/>
          <w:spacing w:val="-4"/>
          <w:sz w:val="32"/>
          <w:szCs w:val="32"/>
        </w:rPr>
      </w:pPr>
      <w:r>
        <w:rPr>
          <w:rFonts w:eastAsia="方正仿宋_GBK"/>
          <w:spacing w:val="-4"/>
          <w:sz w:val="32"/>
          <w:szCs w:val="32"/>
        </w:rPr>
        <w:t>9．开展民间国际科学技术交流活动，促进国际科学技术合作，发展同国（境）外的科学技术团体和科学技术工作者的友好交往，为海外科技人才来攀创新创业提供服务。</w:t>
      </w:r>
    </w:p>
    <w:p w14:paraId="582B8D1A">
      <w:pPr>
        <w:pStyle w:val="28"/>
        <w:spacing w:line="560" w:lineRule="exact"/>
        <w:ind w:left="630" w:firstLine="0" w:firstLineChars="0"/>
        <w:rPr>
          <w:rFonts w:eastAsia="方正仿宋_GBK"/>
          <w:spacing w:val="-4"/>
          <w:sz w:val="32"/>
          <w:szCs w:val="32"/>
        </w:rPr>
      </w:pPr>
      <w:r>
        <w:rPr>
          <w:rFonts w:eastAsia="方正仿宋_GBK"/>
          <w:spacing w:val="-4"/>
          <w:sz w:val="32"/>
          <w:szCs w:val="32"/>
        </w:rPr>
        <w:t>10．兴办符合攀枝花市科学技术协会宗旨的社会公益性事业。</w:t>
      </w:r>
    </w:p>
    <w:p w14:paraId="5AC62C62">
      <w:pPr>
        <w:pStyle w:val="4"/>
        <w:spacing w:before="0" w:after="0" w:line="560" w:lineRule="exact"/>
        <w:ind w:firstLine="624" w:firstLineChars="200"/>
        <w:rPr>
          <w:rFonts w:ascii="Times New Roman" w:hAnsi="方正黑体_GBK" w:eastAsia="方正黑体_GBK" w:cs="Times New Roman"/>
          <w:b w:val="0"/>
          <w:spacing w:val="-4"/>
        </w:rPr>
      </w:pPr>
      <w:bookmarkStart w:id="15" w:name="_Toc3088"/>
      <w:bookmarkStart w:id="16" w:name="_Toc15377200"/>
      <w:bookmarkStart w:id="17" w:name="_Toc15396601"/>
      <w:r>
        <w:rPr>
          <w:rFonts w:ascii="Times New Roman" w:hAnsi="方正黑体_GBK" w:eastAsia="方正黑体_GBK" w:cs="Times New Roman"/>
          <w:b w:val="0"/>
          <w:spacing w:val="-4"/>
        </w:rPr>
        <w:t>二、机构设置</w:t>
      </w:r>
      <w:bookmarkEnd w:id="15"/>
      <w:bookmarkEnd w:id="16"/>
      <w:bookmarkEnd w:id="17"/>
    </w:p>
    <w:p w14:paraId="60F3FE9C">
      <w:pPr>
        <w:spacing w:line="560" w:lineRule="exact"/>
        <w:ind w:firstLine="624" w:firstLineChars="200"/>
        <w:rPr>
          <w:rFonts w:eastAsia="方正仿宋_GBK"/>
          <w:spacing w:val="-4"/>
          <w:sz w:val="32"/>
          <w:szCs w:val="32"/>
        </w:rPr>
      </w:pPr>
      <w:r>
        <w:rPr>
          <w:rFonts w:hint="eastAsia" w:eastAsia="方正仿宋_GBK"/>
          <w:spacing w:val="-4"/>
          <w:sz w:val="32"/>
          <w:szCs w:val="32"/>
        </w:rPr>
        <w:t>四川省攀枝花市科学技术协会（</w:t>
      </w:r>
      <w:r>
        <w:rPr>
          <w:rFonts w:eastAsia="方正仿宋_GBK"/>
          <w:spacing w:val="-4"/>
          <w:sz w:val="32"/>
          <w:szCs w:val="32"/>
        </w:rPr>
        <w:t>本级）下属二级单位2个，其中行政单位0个，参照公务员法管理的事业单位0个，其他事业单位2个。</w:t>
      </w:r>
    </w:p>
    <w:p w14:paraId="03F784B3">
      <w:pPr>
        <w:spacing w:line="560" w:lineRule="exact"/>
        <w:ind w:firstLine="624" w:firstLineChars="200"/>
        <w:rPr>
          <w:rFonts w:eastAsia="方正仿宋_GBK"/>
          <w:spacing w:val="-4"/>
          <w:sz w:val="32"/>
          <w:szCs w:val="32"/>
        </w:rPr>
      </w:pPr>
      <w:r>
        <w:rPr>
          <w:rFonts w:eastAsia="方正仿宋_GBK"/>
          <w:spacing w:val="-4"/>
          <w:sz w:val="32"/>
          <w:szCs w:val="32"/>
        </w:rPr>
        <w:t>纳入市科协2025年度单位决算编制范围的二级预算单位包括：</w:t>
      </w:r>
      <w:bookmarkStart w:id="18" w:name="_Toc15377432"/>
      <w:bookmarkStart w:id="19" w:name="_Toc15306275"/>
      <w:bookmarkStart w:id="20" w:name="_Toc15378448"/>
      <w:bookmarkStart w:id="21" w:name="_Toc15377201"/>
    </w:p>
    <w:p w14:paraId="30775E11">
      <w:pPr>
        <w:spacing w:line="560" w:lineRule="exact"/>
        <w:ind w:firstLine="624" w:firstLineChars="200"/>
        <w:rPr>
          <w:rFonts w:eastAsia="方正仿宋_GBK"/>
          <w:spacing w:val="-4"/>
          <w:sz w:val="32"/>
          <w:szCs w:val="32"/>
        </w:rPr>
      </w:pPr>
      <w:r>
        <w:rPr>
          <w:rFonts w:eastAsia="方正仿宋_GBK"/>
          <w:spacing w:val="-4"/>
          <w:sz w:val="32"/>
          <w:szCs w:val="32"/>
        </w:rPr>
        <w:t>1.攀枝花市院士专家服务中心（攀枝花市科技创新转化服务中心）</w:t>
      </w:r>
      <w:bookmarkEnd w:id="18"/>
      <w:bookmarkEnd w:id="19"/>
      <w:bookmarkEnd w:id="20"/>
      <w:bookmarkEnd w:id="21"/>
    </w:p>
    <w:p w14:paraId="4BBD4B17">
      <w:pPr>
        <w:spacing w:line="560" w:lineRule="exact"/>
        <w:ind w:firstLine="624" w:firstLineChars="200"/>
        <w:rPr>
          <w:rFonts w:eastAsia="方正仿宋_GBK"/>
          <w:spacing w:val="-4"/>
          <w:sz w:val="32"/>
          <w:szCs w:val="32"/>
        </w:rPr>
      </w:pPr>
      <w:r>
        <w:rPr>
          <w:rFonts w:eastAsia="方正仿宋_GBK"/>
          <w:spacing w:val="-4"/>
          <w:sz w:val="32"/>
          <w:szCs w:val="32"/>
        </w:rPr>
        <w:t>2.攀枝花市科技馆（攀枝花市青少年科技教育活动中心）</w:t>
      </w:r>
    </w:p>
    <w:p w14:paraId="1A3C8E81">
      <w:pPr>
        <w:spacing w:line="560" w:lineRule="exact"/>
        <w:ind w:firstLine="624" w:firstLineChars="200"/>
        <w:rPr>
          <w:rFonts w:eastAsia="方正仿宋_GBK"/>
          <w:spacing w:val="-4"/>
          <w:sz w:val="32"/>
          <w:szCs w:val="32"/>
        </w:rPr>
      </w:pPr>
      <w:r>
        <w:rPr>
          <w:rFonts w:eastAsia="方正仿宋_GBK"/>
          <w:spacing w:val="-4"/>
          <w:sz w:val="32"/>
          <w:szCs w:val="32"/>
        </w:rPr>
        <w:t>以上两个单位均为市科协直属公益一类事业单位。市科协直属事业单位为独立法人，但因人员较少，财务并未独立核算。2025年</w:t>
      </w:r>
      <w:r>
        <w:rPr>
          <w:rFonts w:hint="eastAsia" w:eastAsia="方正仿宋_GBK"/>
          <w:spacing w:val="-4"/>
          <w:sz w:val="32"/>
          <w:szCs w:val="32"/>
        </w:rPr>
        <w:t>度</w:t>
      </w:r>
      <w:r>
        <w:rPr>
          <w:rFonts w:eastAsia="方正仿宋_GBK"/>
          <w:spacing w:val="-4"/>
          <w:sz w:val="32"/>
          <w:szCs w:val="32"/>
        </w:rPr>
        <w:t>市科协机关与事业单位合并执行《政府会计制度》，人员经费、公用经费、项目经费均统一按照财政预算分科目核算，并作为单户上报决算。</w:t>
      </w:r>
    </w:p>
    <w:p w14:paraId="0D9808F4">
      <w:pPr>
        <w:widowControl/>
        <w:jc w:val="left"/>
        <w:rPr>
          <w:rFonts w:eastAsia="仿宋"/>
          <w:spacing w:val="-4"/>
          <w:sz w:val="32"/>
          <w:szCs w:val="32"/>
        </w:rPr>
      </w:pPr>
      <w:bookmarkStart w:id="22" w:name="_Toc15377204"/>
      <w:bookmarkStart w:id="23" w:name="_Toc15396602"/>
      <w:r>
        <w:rPr>
          <w:rFonts w:eastAsia="仿宋"/>
          <w:b/>
          <w:bCs/>
          <w:spacing w:val="-4"/>
          <w:sz w:val="32"/>
          <w:szCs w:val="32"/>
        </w:rPr>
        <w:br w:type="page"/>
      </w:r>
    </w:p>
    <w:p w14:paraId="297ACAFE">
      <w:pPr>
        <w:pStyle w:val="3"/>
        <w:spacing w:line="560" w:lineRule="exact"/>
        <w:ind w:right="442"/>
        <w:jc w:val="center"/>
        <w:rPr>
          <w:rFonts w:eastAsia="黑体"/>
          <w:b w:val="0"/>
          <w:spacing w:val="-4"/>
          <w:szCs w:val="33"/>
        </w:rPr>
      </w:pPr>
      <w:bookmarkStart w:id="24" w:name="_Toc27898"/>
      <w:r>
        <w:rPr>
          <w:rFonts w:eastAsia="黑体"/>
          <w:b w:val="0"/>
          <w:spacing w:val="-4"/>
          <w:szCs w:val="33"/>
        </w:rPr>
        <w:t>第二部分 2025年度</w:t>
      </w:r>
      <w:r>
        <w:rPr>
          <w:rStyle w:val="29"/>
          <w:rFonts w:hint="eastAsia" w:eastAsia="黑体"/>
          <w:b w:val="0"/>
          <w:bCs/>
          <w:spacing w:val="-4"/>
          <w:szCs w:val="33"/>
        </w:rPr>
        <w:t>单位</w:t>
      </w:r>
      <w:r>
        <w:rPr>
          <w:rStyle w:val="29"/>
          <w:rFonts w:eastAsia="黑体"/>
          <w:b w:val="0"/>
          <w:bCs/>
          <w:spacing w:val="-4"/>
          <w:szCs w:val="33"/>
        </w:rPr>
        <w:t>决算情况说明</w:t>
      </w:r>
      <w:bookmarkEnd w:id="22"/>
      <w:bookmarkEnd w:id="23"/>
      <w:bookmarkEnd w:id="24"/>
    </w:p>
    <w:p w14:paraId="0DAFF846">
      <w:pPr>
        <w:pStyle w:val="4"/>
        <w:spacing w:before="0" w:after="0" w:line="560" w:lineRule="exact"/>
        <w:ind w:firstLine="624" w:firstLineChars="200"/>
        <w:rPr>
          <w:rFonts w:ascii="Times New Roman" w:hAnsi="方正黑体_GBK" w:eastAsia="方正黑体_GBK" w:cs="Times New Roman"/>
          <w:b w:val="0"/>
          <w:spacing w:val="-4"/>
        </w:rPr>
      </w:pPr>
      <w:bookmarkStart w:id="25" w:name="_Toc15396603"/>
      <w:bookmarkStart w:id="26" w:name="_Toc15377205"/>
      <w:bookmarkStart w:id="27" w:name="_Toc18174"/>
      <w:r>
        <w:rPr>
          <w:rFonts w:hint="eastAsia" w:ascii="Times New Roman" w:hAnsi="方正黑体_GBK" w:eastAsia="方正黑体_GBK" w:cs="Times New Roman"/>
          <w:b w:val="0"/>
          <w:spacing w:val="-4"/>
        </w:rPr>
        <w:t>一、</w:t>
      </w:r>
      <w:r>
        <w:rPr>
          <w:rFonts w:ascii="Times New Roman" w:hAnsi="方正黑体_GBK" w:eastAsia="方正黑体_GBK" w:cs="Times New Roman"/>
          <w:b w:val="0"/>
          <w:spacing w:val="-4"/>
        </w:rPr>
        <w:t>收入支出决算总体情况说明</w:t>
      </w:r>
      <w:bookmarkEnd w:id="25"/>
      <w:bookmarkEnd w:id="26"/>
      <w:bookmarkEnd w:id="27"/>
    </w:p>
    <w:p w14:paraId="368250B4">
      <w:pPr>
        <w:spacing w:line="560" w:lineRule="exact"/>
        <w:ind w:firstLine="624" w:firstLineChars="200"/>
        <w:rPr>
          <w:rFonts w:eastAsia="方正仿宋_GBK"/>
          <w:spacing w:val="-4"/>
          <w:sz w:val="32"/>
          <w:szCs w:val="32"/>
        </w:rPr>
      </w:pPr>
      <w:r>
        <w:rPr>
          <w:rFonts w:eastAsia="方正仿宋_GBK"/>
          <w:spacing w:val="-4"/>
          <w:sz w:val="32"/>
          <w:szCs w:val="32"/>
        </w:rPr>
        <w:t>2025年度收、支总计1056.77万元。与2024年</w:t>
      </w:r>
      <w:r>
        <w:rPr>
          <w:rFonts w:hint="eastAsia" w:eastAsia="方正仿宋_GBK"/>
          <w:spacing w:val="-4"/>
          <w:sz w:val="32"/>
          <w:szCs w:val="32"/>
        </w:rPr>
        <w:t>度</w:t>
      </w:r>
      <w:r>
        <w:rPr>
          <w:rFonts w:eastAsia="方正仿宋_GBK"/>
          <w:spacing w:val="-4"/>
          <w:sz w:val="32"/>
          <w:szCs w:val="32"/>
        </w:rPr>
        <w:t>相比，收入、支出总计各</w:t>
      </w:r>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48442F0C">
      <w:pPr>
        <w:pStyle w:val="4"/>
        <w:spacing w:before="0" w:after="0" w:line="560" w:lineRule="exact"/>
        <w:ind w:firstLine="624" w:firstLineChars="200"/>
        <w:rPr>
          <w:rFonts w:ascii="Times New Roman" w:hAnsi="方正黑体_GBK" w:eastAsia="方正黑体_GBK" w:cs="Times New Roman"/>
          <w:b w:val="0"/>
          <w:spacing w:val="-4"/>
        </w:rPr>
      </w:pPr>
      <w:bookmarkStart w:id="28" w:name="_Toc15377206"/>
      <w:bookmarkStart w:id="29" w:name="_Toc9056"/>
      <w:bookmarkStart w:id="30" w:name="_Toc15396604"/>
      <w:r>
        <w:rPr>
          <w:rFonts w:hint="eastAsia" w:ascii="Times New Roman" w:hAnsi="方正黑体_GBK" w:eastAsia="方正黑体_GBK" w:cs="Times New Roman"/>
          <w:b w:val="0"/>
          <w:spacing w:val="-4"/>
        </w:rPr>
        <w:drawing>
          <wp:anchor distT="0" distB="0" distL="114300" distR="114300" simplePos="0" relativeHeight="251659264" behindDoc="0" locked="0" layoutInCell="1" allowOverlap="1">
            <wp:simplePos x="0" y="0"/>
            <wp:positionH relativeFrom="column">
              <wp:posOffset>82550</wp:posOffset>
            </wp:positionH>
            <wp:positionV relativeFrom="paragraph">
              <wp:posOffset>7620</wp:posOffset>
            </wp:positionV>
            <wp:extent cx="5099050" cy="1978660"/>
            <wp:effectExtent l="0" t="0" r="0" b="0"/>
            <wp:wrapTopAndBottom/>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Times New Roman" w:hAnsi="方正黑体_GBK" w:eastAsia="方正黑体_GBK" w:cs="Times New Roman"/>
          <w:b w:val="0"/>
          <w:spacing w:val="-4"/>
        </w:rPr>
        <w:t>二、收入决算情况说明</w:t>
      </w:r>
      <w:bookmarkEnd w:id="28"/>
      <w:bookmarkEnd w:id="29"/>
      <w:bookmarkEnd w:id="30"/>
    </w:p>
    <w:p w14:paraId="02D3C653">
      <w:pPr>
        <w:ind w:firstLine="624" w:firstLineChars="200"/>
        <w:rPr>
          <w:rFonts w:eastAsia="方正仿宋_GBK"/>
          <w:spacing w:val="-4"/>
          <w:sz w:val="33"/>
          <w:szCs w:val="33"/>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本年收入合计1056.77万元，其中：一般公共预算财政拨款收入1056.77万元，占100%；政府性基金预算财政拨款收入</w:t>
      </w:r>
      <w:r>
        <w:rPr>
          <w:rFonts w:hint="eastAsia" w:eastAsia="方正仿宋_GBK"/>
          <w:spacing w:val="-4"/>
          <w:sz w:val="32"/>
          <w:szCs w:val="32"/>
        </w:rPr>
        <w:t>、</w:t>
      </w:r>
      <w:r>
        <w:rPr>
          <w:rFonts w:eastAsia="方正仿宋_GBK"/>
          <w:spacing w:val="-4"/>
          <w:sz w:val="32"/>
          <w:szCs w:val="32"/>
        </w:rPr>
        <w:t>国有资本经营预算财政拨款收入</w:t>
      </w:r>
      <w:r>
        <w:rPr>
          <w:rFonts w:hint="eastAsia" w:eastAsia="方正仿宋_GBK"/>
          <w:spacing w:val="-4"/>
          <w:sz w:val="32"/>
          <w:szCs w:val="32"/>
        </w:rPr>
        <w:t>、</w:t>
      </w:r>
      <w:r>
        <w:rPr>
          <w:rFonts w:eastAsia="方正仿宋_GBK"/>
          <w:spacing w:val="-4"/>
          <w:sz w:val="32"/>
          <w:szCs w:val="32"/>
        </w:rPr>
        <w:t>上级补助收入</w:t>
      </w:r>
      <w:r>
        <w:rPr>
          <w:rFonts w:hint="eastAsia" w:eastAsia="方正仿宋_GBK"/>
          <w:spacing w:val="-4"/>
          <w:sz w:val="32"/>
          <w:szCs w:val="32"/>
        </w:rPr>
        <w:t>、</w:t>
      </w:r>
      <w:r>
        <w:rPr>
          <w:rFonts w:eastAsia="方正仿宋_GBK"/>
          <w:spacing w:val="-4"/>
          <w:sz w:val="32"/>
          <w:szCs w:val="32"/>
        </w:rPr>
        <w:t>事业收入</w:t>
      </w:r>
      <w:r>
        <w:rPr>
          <w:rFonts w:hint="eastAsia" w:eastAsia="方正仿宋_GBK"/>
          <w:spacing w:val="-4"/>
          <w:sz w:val="32"/>
          <w:szCs w:val="32"/>
        </w:rPr>
        <w:t>、</w:t>
      </w:r>
      <w:r>
        <w:rPr>
          <w:rFonts w:eastAsia="方正仿宋_GBK"/>
          <w:spacing w:val="-4"/>
          <w:sz w:val="32"/>
          <w:szCs w:val="32"/>
        </w:rPr>
        <w:t>经营收入</w:t>
      </w:r>
      <w:r>
        <w:rPr>
          <w:rFonts w:hint="eastAsia" w:eastAsia="方正仿宋_GBK"/>
          <w:spacing w:val="-4"/>
          <w:sz w:val="32"/>
          <w:szCs w:val="32"/>
        </w:rPr>
        <w:t>、</w:t>
      </w:r>
      <w:r>
        <w:rPr>
          <w:rFonts w:eastAsia="方正仿宋_GBK"/>
          <w:spacing w:val="-4"/>
          <w:sz w:val="32"/>
          <w:szCs w:val="32"/>
        </w:rPr>
        <w:t>附属单位上缴收入</w:t>
      </w:r>
      <w:r>
        <w:rPr>
          <w:rFonts w:hint="eastAsia" w:eastAsia="方正仿宋_GBK"/>
          <w:spacing w:val="-4"/>
          <w:sz w:val="32"/>
          <w:szCs w:val="32"/>
        </w:rPr>
        <w:t>、</w:t>
      </w:r>
      <w:r>
        <w:rPr>
          <w:rFonts w:eastAsia="方正仿宋_GBK"/>
          <w:spacing w:val="-4"/>
          <w:sz w:val="32"/>
          <w:szCs w:val="32"/>
        </w:rPr>
        <w:t>其他收入</w:t>
      </w:r>
      <w:r>
        <w:rPr>
          <w:rFonts w:hint="eastAsia" w:eastAsia="方正仿宋_GBK"/>
          <w:spacing w:val="-4"/>
          <w:sz w:val="32"/>
          <w:szCs w:val="32"/>
        </w:rPr>
        <w:t>均为</w:t>
      </w:r>
      <w:r>
        <w:rPr>
          <w:rFonts w:eastAsia="方正仿宋_GBK"/>
          <w:spacing w:val="-4"/>
          <w:sz w:val="32"/>
          <w:szCs w:val="32"/>
        </w:rPr>
        <w:t>0万元。</w:t>
      </w:r>
    </w:p>
    <w:p w14:paraId="5506FB44">
      <w:pPr>
        <w:pStyle w:val="2"/>
        <w:spacing w:beforeLines="0"/>
        <w:rPr>
          <w:rFonts w:ascii="Times New Roman"/>
          <w:spacing w:val="-4"/>
          <w:sz w:val="33"/>
          <w:szCs w:val="33"/>
        </w:rPr>
      </w:pPr>
      <w:r>
        <w:rPr>
          <w:rFonts w:ascii="Times New Roman"/>
          <w:spacing w:val="-4"/>
          <w:sz w:val="33"/>
          <w:szCs w:val="33"/>
        </w:rPr>
        <w:drawing>
          <wp:anchor distT="0" distB="0" distL="114300" distR="114300" simplePos="0" relativeHeight="251662336" behindDoc="0" locked="0" layoutInCell="1" allowOverlap="1">
            <wp:simplePos x="0" y="0"/>
            <wp:positionH relativeFrom="column">
              <wp:posOffset>620395</wp:posOffset>
            </wp:positionH>
            <wp:positionV relativeFrom="paragraph">
              <wp:posOffset>60325</wp:posOffset>
            </wp:positionV>
            <wp:extent cx="4315460" cy="1895475"/>
            <wp:effectExtent l="0" t="0" r="0" b="0"/>
            <wp:wrapSquare wrapText="bothSides"/>
            <wp:docPr id="1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35F9794">
      <w:pPr>
        <w:pStyle w:val="2"/>
        <w:spacing w:before="93" w:line="560" w:lineRule="exact"/>
        <w:ind w:firstLine="627" w:firstLineChars="200"/>
        <w:outlineLvl w:val="1"/>
        <w:rPr>
          <w:rStyle w:val="30"/>
          <w:rFonts w:ascii="方正黑体_GBK" w:hAnsi="方正黑体_GBK" w:eastAsia="方正黑体_GBK" w:cs="方正黑体_GBK"/>
          <w:b w:val="0"/>
          <w:bCs w:val="0"/>
          <w:spacing w:val="-4"/>
          <w:kern w:val="0"/>
        </w:rPr>
      </w:pPr>
      <w:bookmarkStart w:id="31" w:name="_Toc27868"/>
      <w:bookmarkStart w:id="32" w:name="_Toc15396605"/>
      <w:bookmarkStart w:id="33" w:name="_Toc15377207"/>
      <w:r>
        <w:rPr>
          <w:rStyle w:val="30"/>
          <w:rFonts w:hint="eastAsia" w:ascii="方正黑体_GBK" w:hAnsi="方正黑体_GBK" w:eastAsia="方正黑体_GBK" w:cs="方正黑体_GBK"/>
          <w:spacing w:val="-4"/>
        </w:rPr>
        <w:t>三、</w:t>
      </w:r>
      <w:r>
        <w:rPr>
          <w:rFonts w:hint="eastAsia" w:ascii="方正黑体_GBK" w:hAnsi="方正黑体_GBK" w:eastAsia="方正黑体_GBK" w:cs="方正黑体_GBK"/>
          <w:spacing w:val="-4"/>
          <w:sz w:val="32"/>
          <w:szCs w:val="32"/>
        </w:rPr>
        <w:t>支</w:t>
      </w:r>
      <w:r>
        <w:rPr>
          <w:rStyle w:val="30"/>
          <w:rFonts w:hint="eastAsia" w:ascii="方正黑体_GBK" w:hAnsi="方正黑体_GBK" w:eastAsia="方正黑体_GBK" w:cs="方正黑体_GBK"/>
          <w:b w:val="0"/>
          <w:spacing w:val="-4"/>
        </w:rPr>
        <w:t>出决算情况说明</w:t>
      </w:r>
      <w:bookmarkEnd w:id="31"/>
      <w:bookmarkEnd w:id="32"/>
      <w:bookmarkEnd w:id="33"/>
    </w:p>
    <w:p w14:paraId="660229FA">
      <w:pPr>
        <w:spacing w:line="560" w:lineRule="exact"/>
        <w:ind w:firstLine="624" w:firstLineChars="200"/>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本年支出合计1056.77万元，其中：基本支出732.05万元，占69.27%；项目支出324.72万元，占30.73%；上缴上级支出</w:t>
      </w:r>
      <w:r>
        <w:rPr>
          <w:rFonts w:hint="eastAsia" w:eastAsia="方正仿宋_GBK"/>
          <w:spacing w:val="-4"/>
          <w:sz w:val="32"/>
          <w:szCs w:val="32"/>
        </w:rPr>
        <w:t>、</w:t>
      </w:r>
      <w:r>
        <w:rPr>
          <w:rFonts w:eastAsia="方正仿宋_GBK"/>
          <w:spacing w:val="-4"/>
          <w:sz w:val="32"/>
          <w:szCs w:val="32"/>
        </w:rPr>
        <w:t>经营支出</w:t>
      </w:r>
      <w:r>
        <w:rPr>
          <w:rFonts w:hint="eastAsia" w:eastAsia="方正仿宋_GBK"/>
          <w:spacing w:val="-4"/>
          <w:sz w:val="32"/>
          <w:szCs w:val="32"/>
        </w:rPr>
        <w:t>、</w:t>
      </w:r>
      <w:r>
        <w:rPr>
          <w:rFonts w:eastAsia="方正仿宋_GBK"/>
          <w:spacing w:val="-4"/>
          <w:sz w:val="32"/>
          <w:szCs w:val="32"/>
        </w:rPr>
        <w:t>对附属单位补助支出</w:t>
      </w:r>
      <w:r>
        <w:rPr>
          <w:rFonts w:hint="eastAsia" w:eastAsia="方正仿宋_GBK"/>
          <w:spacing w:val="-4"/>
          <w:sz w:val="32"/>
          <w:szCs w:val="32"/>
        </w:rPr>
        <w:t>均为</w:t>
      </w:r>
      <w:r>
        <w:rPr>
          <w:rFonts w:eastAsia="方正仿宋_GBK"/>
          <w:spacing w:val="-4"/>
          <w:sz w:val="32"/>
          <w:szCs w:val="32"/>
        </w:rPr>
        <w:t>0万元。</w:t>
      </w:r>
    </w:p>
    <w:p w14:paraId="3BA0CE2B">
      <w:pPr>
        <w:spacing w:line="560" w:lineRule="exact"/>
        <w:ind w:firstLine="614" w:firstLineChars="196"/>
        <w:outlineLvl w:val="1"/>
        <w:rPr>
          <w:rStyle w:val="30"/>
          <w:rFonts w:ascii="方正黑体_GBK" w:hAnsi="方正黑体_GBK" w:eastAsia="方正黑体_GBK" w:cs="方正黑体_GBK"/>
          <w:b w:val="0"/>
          <w:spacing w:val="-4"/>
        </w:rPr>
      </w:pPr>
      <w:bookmarkStart w:id="34" w:name="_Toc23215"/>
      <w:r>
        <w:rPr>
          <w:rFonts w:hint="eastAsia" w:ascii="方正黑体_GBK" w:hAnsi="方正黑体_GBK" w:eastAsia="方正黑体_GBK" w:cs="方正黑体_GBK"/>
          <w:b/>
          <w:spacing w:val="-4"/>
          <w:sz w:val="32"/>
          <w:szCs w:val="32"/>
        </w:rPr>
        <w:drawing>
          <wp:anchor distT="0" distB="0" distL="114300" distR="114300" simplePos="0" relativeHeight="251660288" behindDoc="0" locked="0" layoutInCell="1" allowOverlap="1">
            <wp:simplePos x="0" y="0"/>
            <wp:positionH relativeFrom="column">
              <wp:posOffset>457835</wp:posOffset>
            </wp:positionH>
            <wp:positionV relativeFrom="paragraph">
              <wp:posOffset>274320</wp:posOffset>
            </wp:positionV>
            <wp:extent cx="4157980" cy="2258060"/>
            <wp:effectExtent l="0" t="0" r="0" b="0"/>
            <wp:wrapTopAndBottom/>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35" w:name="_Toc15377208"/>
      <w:bookmarkStart w:id="36" w:name="_Toc15396606"/>
      <w:r>
        <w:rPr>
          <w:rFonts w:hint="eastAsia" w:ascii="方正黑体_GBK" w:hAnsi="方正黑体_GBK" w:eastAsia="方正黑体_GBK" w:cs="方正黑体_GBK"/>
          <w:spacing w:val="-4"/>
          <w:sz w:val="32"/>
          <w:szCs w:val="32"/>
        </w:rPr>
        <w:t>四、财</w:t>
      </w:r>
      <w:r>
        <w:rPr>
          <w:rStyle w:val="30"/>
          <w:rFonts w:hint="eastAsia" w:ascii="方正黑体_GBK" w:hAnsi="方正黑体_GBK" w:eastAsia="方正黑体_GBK" w:cs="方正黑体_GBK"/>
          <w:b w:val="0"/>
          <w:spacing w:val="-4"/>
        </w:rPr>
        <w:t>政拨款收入支出决算总体情况说明</w:t>
      </w:r>
      <w:bookmarkEnd w:id="34"/>
      <w:bookmarkEnd w:id="35"/>
      <w:bookmarkEnd w:id="36"/>
    </w:p>
    <w:p w14:paraId="23A72EB4">
      <w:pPr>
        <w:spacing w:line="560" w:lineRule="exact"/>
        <w:ind w:firstLine="624" w:firstLineChars="200"/>
        <w:rPr>
          <w:rFonts w:eastAsia="方正仿宋_GBK"/>
          <w:spacing w:val="-4"/>
          <w:sz w:val="32"/>
          <w:szCs w:val="32"/>
        </w:rPr>
      </w:pPr>
      <w:r>
        <w:rPr>
          <w:rFonts w:eastAsia="方正仿宋_GBK"/>
          <w:spacing w:val="-4"/>
          <w:sz w:val="32"/>
          <w:szCs w:val="32"/>
        </w:rPr>
        <w:drawing>
          <wp:anchor distT="0" distB="0" distL="114300" distR="114300" simplePos="0" relativeHeight="251663360" behindDoc="0" locked="0" layoutInCell="1" allowOverlap="1">
            <wp:simplePos x="0" y="0"/>
            <wp:positionH relativeFrom="column">
              <wp:posOffset>215265</wp:posOffset>
            </wp:positionH>
            <wp:positionV relativeFrom="paragraph">
              <wp:posOffset>1263015</wp:posOffset>
            </wp:positionV>
            <wp:extent cx="5099050" cy="1981835"/>
            <wp:effectExtent l="0" t="0" r="0" b="0"/>
            <wp:wrapTopAndBottom/>
            <wp:docPr id="1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财政拨款收入、支出总计1056.77万元。与2024年</w:t>
      </w:r>
      <w:r>
        <w:rPr>
          <w:rFonts w:hint="eastAsia" w:eastAsia="方正仿宋_GBK"/>
          <w:spacing w:val="-4"/>
          <w:sz w:val="32"/>
          <w:szCs w:val="32"/>
        </w:rPr>
        <w:t>度</w:t>
      </w:r>
      <w:r>
        <w:rPr>
          <w:rFonts w:eastAsia="方正仿宋_GBK"/>
          <w:spacing w:val="-4"/>
          <w:sz w:val="32"/>
          <w:szCs w:val="32"/>
        </w:rPr>
        <w:t>相比，财政拨款收、支总计</w:t>
      </w:r>
      <w:bookmarkStart w:id="37" w:name="_Toc15377209"/>
      <w:bookmarkStart w:id="38" w:name="_Toc15396607"/>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w:t>
      </w:r>
      <w:r>
        <w:rPr>
          <w:rFonts w:hint="eastAsia" w:eastAsia="方正仿宋_GBK"/>
          <w:spacing w:val="-4"/>
          <w:sz w:val="32"/>
          <w:szCs w:val="32"/>
        </w:rPr>
        <w:t>。</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4E8CAE8A">
      <w:pPr>
        <w:spacing w:line="560" w:lineRule="exact"/>
        <w:ind w:firstLine="644" w:firstLineChars="200"/>
        <w:outlineLvl w:val="1"/>
        <w:rPr>
          <w:rFonts w:eastAsia="黑体"/>
          <w:spacing w:val="-4"/>
          <w:sz w:val="33"/>
          <w:szCs w:val="33"/>
        </w:rPr>
      </w:pPr>
    </w:p>
    <w:p w14:paraId="73051AF8">
      <w:pPr>
        <w:spacing w:line="560" w:lineRule="exact"/>
        <w:ind w:firstLine="624" w:firstLineChars="200"/>
        <w:outlineLvl w:val="1"/>
        <w:rPr>
          <w:rStyle w:val="30"/>
          <w:rFonts w:ascii="方正黑体_GBK" w:hAnsi="方正黑体_GBK" w:eastAsia="方正黑体_GBK" w:cs="方正黑体_GBK"/>
          <w:b w:val="0"/>
          <w:spacing w:val="-4"/>
        </w:rPr>
      </w:pPr>
      <w:bookmarkStart w:id="39" w:name="_Toc16344"/>
      <w:r>
        <w:rPr>
          <w:rFonts w:hint="eastAsia" w:ascii="方正黑体_GBK" w:hAnsi="方正黑体_GBK" w:eastAsia="方正黑体_GBK" w:cs="方正黑体_GBK"/>
          <w:spacing w:val="-4"/>
          <w:sz w:val="32"/>
          <w:szCs w:val="32"/>
        </w:rPr>
        <w:t>五、</w:t>
      </w:r>
      <w:r>
        <w:rPr>
          <w:rFonts w:hint="eastAsia" w:ascii="方正黑体_GBK" w:hAnsi="方正黑体_GBK" w:eastAsia="方正黑体_GBK" w:cs="方正黑体_GBK"/>
          <w:b/>
          <w:spacing w:val="-4"/>
          <w:sz w:val="32"/>
          <w:szCs w:val="32"/>
        </w:rPr>
        <w:t>一</w:t>
      </w:r>
      <w:r>
        <w:rPr>
          <w:rStyle w:val="30"/>
          <w:rFonts w:hint="eastAsia" w:ascii="方正黑体_GBK" w:hAnsi="方正黑体_GBK" w:eastAsia="方正黑体_GBK" w:cs="方正黑体_GBK"/>
          <w:b w:val="0"/>
          <w:spacing w:val="-4"/>
        </w:rPr>
        <w:t>般公共预算财政拨款支出决算情况说明</w:t>
      </w:r>
      <w:bookmarkEnd w:id="37"/>
      <w:bookmarkEnd w:id="38"/>
      <w:bookmarkEnd w:id="39"/>
    </w:p>
    <w:p w14:paraId="179632FD">
      <w:pPr>
        <w:spacing w:line="560" w:lineRule="exact"/>
        <w:ind w:firstLine="627" w:firstLineChars="200"/>
        <w:rPr>
          <w:rFonts w:ascii="方正楷体_GBK" w:hAnsi="方正楷体_GBK" w:eastAsia="方正楷体_GBK"/>
          <w:b/>
          <w:spacing w:val="-4"/>
          <w:sz w:val="32"/>
          <w:szCs w:val="32"/>
        </w:rPr>
      </w:pPr>
      <w:bookmarkStart w:id="40" w:name="_Toc15377210"/>
      <w:r>
        <w:rPr>
          <w:rFonts w:ascii="方正楷体_GBK" w:hAnsi="方正楷体_GBK" w:eastAsia="方正楷体_GBK"/>
          <w:b/>
          <w:spacing w:val="-4"/>
          <w:sz w:val="32"/>
          <w:szCs w:val="32"/>
        </w:rPr>
        <w:t>（一）一般公共预算财政拨款支出决算总体情况</w:t>
      </w:r>
      <w:bookmarkEnd w:id="40"/>
    </w:p>
    <w:p w14:paraId="0BF9077A">
      <w:pPr>
        <w:spacing w:line="560" w:lineRule="exact"/>
        <w:ind w:firstLine="624" w:firstLineChars="200"/>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一般公共预算财政拨款支出1056.77万元，占本年支出合计的100%。与2024年</w:t>
      </w:r>
      <w:r>
        <w:rPr>
          <w:rFonts w:hint="eastAsia" w:eastAsia="方正仿宋_GBK"/>
          <w:spacing w:val="-4"/>
          <w:sz w:val="32"/>
          <w:szCs w:val="32"/>
        </w:rPr>
        <w:t>度</w:t>
      </w:r>
      <w:r>
        <w:rPr>
          <w:rFonts w:eastAsia="方正仿宋_GBK"/>
          <w:spacing w:val="-4"/>
          <w:sz w:val="32"/>
          <w:szCs w:val="32"/>
        </w:rPr>
        <w:t>相比，一般公共预算财政拨款支出</w:t>
      </w:r>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w:t>
      </w:r>
      <w:r>
        <w:rPr>
          <w:rFonts w:hint="eastAsia" w:eastAsia="方正仿宋_GBK"/>
          <w:spacing w:val="-4"/>
          <w:sz w:val="32"/>
          <w:szCs w:val="32"/>
        </w:rPr>
        <w:t>。</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0333E1B1">
      <w:pPr>
        <w:pStyle w:val="2"/>
        <w:spacing w:before="93"/>
        <w:jc w:val="center"/>
        <w:rPr>
          <w:rFonts w:ascii="Times New Roman"/>
          <w:spacing w:val="-4"/>
          <w:sz w:val="33"/>
          <w:szCs w:val="33"/>
        </w:rPr>
      </w:pPr>
      <w:r>
        <w:rPr>
          <w:rFonts w:ascii="Times New Roman"/>
          <w:spacing w:val="-4"/>
          <w:sz w:val="33"/>
          <w:szCs w:val="33"/>
        </w:rPr>
        <w:drawing>
          <wp:inline distT="0" distB="0" distL="0" distR="0">
            <wp:extent cx="4171950" cy="2311400"/>
            <wp:effectExtent l="19050" t="0" r="18441" b="0"/>
            <wp:docPr id="19"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41" w:name="_Toc15377211"/>
    </w:p>
    <w:p w14:paraId="3DF0D220">
      <w:pPr>
        <w:spacing w:line="560" w:lineRule="exact"/>
        <w:ind w:firstLine="470" w:firstLineChars="150"/>
        <w:rPr>
          <w:rFonts w:ascii="方正楷体_GBK" w:hAnsi="方正楷体_GBK" w:eastAsia="方正楷体_GBK"/>
          <w:b/>
          <w:spacing w:val="-4"/>
          <w:sz w:val="32"/>
          <w:szCs w:val="32"/>
        </w:rPr>
      </w:pPr>
      <w:r>
        <w:rPr>
          <w:rFonts w:ascii="方正楷体_GBK" w:hAnsi="方正楷体_GBK" w:eastAsia="方正楷体_GBK"/>
          <w:b/>
          <w:spacing w:val="-4"/>
          <w:sz w:val="32"/>
          <w:szCs w:val="32"/>
        </w:rPr>
        <w:t>（二）一般公共预算财政拨款支出决算结构情况</w:t>
      </w:r>
      <w:bookmarkEnd w:id="41"/>
    </w:p>
    <w:p w14:paraId="58F6BAD0">
      <w:pPr>
        <w:spacing w:line="560" w:lineRule="exact"/>
        <w:ind w:firstLine="640"/>
        <w:rPr>
          <w:rFonts w:eastAsia="方正仿宋_GBK"/>
          <w:spacing w:val="-4"/>
          <w:sz w:val="33"/>
          <w:szCs w:val="33"/>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一般公共预算财政拨款支出1056.77万元，主要用于以下方面:科学技术支出757.12万元，占71.64%；社会保障和就业支出228.61万元，占21.63%；卫生健康支出31.97万元，占3.03%；住房保障支出39.07万元，占3.7%。</w:t>
      </w:r>
    </w:p>
    <w:p w14:paraId="5E227AE1">
      <w:pPr>
        <w:spacing w:line="560" w:lineRule="exact"/>
        <w:ind w:firstLine="460" w:firstLineChars="147"/>
        <w:rPr>
          <w:rFonts w:ascii="方正楷体_GBK" w:hAnsi="方正楷体_GBK" w:eastAsia="方正楷体_GBK"/>
          <w:b/>
          <w:spacing w:val="-4"/>
          <w:sz w:val="32"/>
          <w:szCs w:val="32"/>
        </w:rPr>
      </w:pPr>
      <w:r>
        <w:rPr>
          <w:rFonts w:ascii="方正楷体_GBK" w:hAnsi="方正楷体_GBK" w:eastAsia="方正楷体_GBK"/>
          <w:b/>
          <w:spacing w:val="-4"/>
          <w:sz w:val="32"/>
          <w:szCs w:val="32"/>
        </w:rPr>
        <w:drawing>
          <wp:anchor distT="0" distB="0" distL="114300" distR="114300" simplePos="0" relativeHeight="251661312" behindDoc="0" locked="0" layoutInCell="1" allowOverlap="1">
            <wp:simplePos x="0" y="0"/>
            <wp:positionH relativeFrom="column">
              <wp:posOffset>370840</wp:posOffset>
            </wp:positionH>
            <wp:positionV relativeFrom="paragraph">
              <wp:posOffset>172085</wp:posOffset>
            </wp:positionV>
            <wp:extent cx="4620895" cy="2313305"/>
            <wp:effectExtent l="0" t="0" r="0" b="0"/>
            <wp:wrapTopAndBottom/>
            <wp:docPr id="4"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42" w:name="_Toc15377212"/>
      <w:r>
        <w:rPr>
          <w:rFonts w:ascii="方正楷体_GBK" w:hAnsi="方正楷体_GBK" w:eastAsia="方正楷体_GBK"/>
          <w:b/>
          <w:spacing w:val="-4"/>
          <w:sz w:val="32"/>
          <w:szCs w:val="32"/>
        </w:rPr>
        <w:t>（三）一般公共预算财政拨款支出决算具体情况</w:t>
      </w:r>
      <w:bookmarkEnd w:id="42"/>
    </w:p>
    <w:p w14:paraId="334C4E33">
      <w:pPr>
        <w:spacing w:line="560" w:lineRule="exact"/>
        <w:ind w:firstLine="640"/>
        <w:rPr>
          <w:rFonts w:eastAsia="方正仿宋_GBK"/>
          <w:spacing w:val="-4"/>
          <w:sz w:val="32"/>
          <w:szCs w:val="32"/>
        </w:rPr>
      </w:pPr>
      <w:bookmarkStart w:id="43" w:name="_Toc15377444"/>
      <w:bookmarkStart w:id="44" w:name="_Toc15377213"/>
      <w:bookmarkStart w:id="45" w:name="_Toc15378460"/>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一般公共预算支出决算数为1056.77</w:t>
      </w:r>
      <w:r>
        <w:rPr>
          <w:rFonts w:hint="eastAsia" w:eastAsia="方正仿宋_GBK"/>
          <w:spacing w:val="-4"/>
          <w:sz w:val="32"/>
          <w:szCs w:val="32"/>
        </w:rPr>
        <w:t>万元</w:t>
      </w:r>
      <w:r>
        <w:rPr>
          <w:rFonts w:eastAsia="方正仿宋_GBK"/>
          <w:spacing w:val="-4"/>
          <w:sz w:val="32"/>
          <w:szCs w:val="32"/>
        </w:rPr>
        <w:t>，完成预算100%。其中：</w:t>
      </w:r>
      <w:bookmarkEnd w:id="43"/>
      <w:bookmarkEnd w:id="44"/>
      <w:bookmarkEnd w:id="45"/>
    </w:p>
    <w:p w14:paraId="5B1D3B48">
      <w:pPr>
        <w:spacing w:line="560" w:lineRule="exact"/>
        <w:ind w:firstLine="640"/>
        <w:rPr>
          <w:rFonts w:eastAsia="方正仿宋_GBK"/>
          <w:spacing w:val="-4"/>
          <w:sz w:val="32"/>
          <w:szCs w:val="32"/>
        </w:rPr>
      </w:pPr>
      <w:r>
        <w:rPr>
          <w:rFonts w:eastAsia="方正仿宋_GBK"/>
          <w:spacing w:val="-4"/>
          <w:sz w:val="32"/>
          <w:szCs w:val="32"/>
        </w:rPr>
        <w:t>1.科学技术（类）科学技术管理事务（款）行政运行（项）:支出决算为220.66万元，完成预算100%。</w:t>
      </w:r>
    </w:p>
    <w:p w14:paraId="40F0F1A7">
      <w:pPr>
        <w:spacing w:line="560" w:lineRule="exact"/>
        <w:ind w:firstLine="640"/>
        <w:rPr>
          <w:rFonts w:eastAsia="方正仿宋_GBK"/>
          <w:spacing w:val="-4"/>
          <w:sz w:val="32"/>
          <w:szCs w:val="32"/>
        </w:rPr>
      </w:pPr>
      <w:r>
        <w:rPr>
          <w:rFonts w:eastAsia="方正仿宋_GBK"/>
          <w:spacing w:val="-4"/>
          <w:sz w:val="32"/>
          <w:szCs w:val="32"/>
        </w:rPr>
        <w:t>2.科学技术（类）科学技术管理事务（款）其他科学技术管理事务支出（项）支出决算为4.88万元，完成预算100%。</w:t>
      </w:r>
    </w:p>
    <w:p w14:paraId="3EE2D258">
      <w:pPr>
        <w:spacing w:line="560" w:lineRule="exact"/>
        <w:ind w:firstLine="640"/>
        <w:rPr>
          <w:rFonts w:eastAsia="方正仿宋_GBK"/>
          <w:spacing w:val="-4"/>
          <w:sz w:val="32"/>
          <w:szCs w:val="32"/>
        </w:rPr>
      </w:pPr>
      <w:r>
        <w:rPr>
          <w:rFonts w:eastAsia="方正仿宋_GBK"/>
          <w:spacing w:val="-4"/>
          <w:sz w:val="32"/>
          <w:szCs w:val="32"/>
        </w:rPr>
        <w:t>3.科学技术（类）科学技术普及（款）机构运行（项）:支出决算为213.29万元，完成预算100%。</w:t>
      </w:r>
    </w:p>
    <w:p w14:paraId="2C60710C">
      <w:pPr>
        <w:spacing w:line="560" w:lineRule="exact"/>
        <w:ind w:firstLine="640"/>
        <w:rPr>
          <w:rFonts w:eastAsia="方正仿宋_GBK"/>
          <w:spacing w:val="-4"/>
          <w:sz w:val="32"/>
          <w:szCs w:val="32"/>
        </w:rPr>
      </w:pPr>
      <w:r>
        <w:rPr>
          <w:rFonts w:eastAsia="方正仿宋_GBK"/>
          <w:spacing w:val="-4"/>
          <w:sz w:val="32"/>
          <w:szCs w:val="32"/>
        </w:rPr>
        <w:t>4.科学技术（类）科学技术普及（款）其他科学技术普及支出（项）支出决算为298.15万元，完成预算100%。</w:t>
      </w:r>
    </w:p>
    <w:p w14:paraId="2D781A3D">
      <w:pPr>
        <w:spacing w:line="560" w:lineRule="exact"/>
        <w:ind w:firstLine="640"/>
        <w:rPr>
          <w:rFonts w:eastAsia="方正仿宋_GBK"/>
          <w:spacing w:val="-4"/>
          <w:sz w:val="32"/>
          <w:szCs w:val="32"/>
        </w:rPr>
      </w:pPr>
      <w:r>
        <w:rPr>
          <w:rFonts w:eastAsia="方正仿宋_GBK"/>
          <w:spacing w:val="-4"/>
          <w:sz w:val="32"/>
          <w:szCs w:val="32"/>
        </w:rPr>
        <w:t>5.科学技术（类）其他科学技术支出（款）其他科学技术支出（项）支出决算为20.14万元，完成预算100%。</w:t>
      </w:r>
    </w:p>
    <w:p w14:paraId="4E1C8F20">
      <w:pPr>
        <w:spacing w:line="560" w:lineRule="exact"/>
        <w:ind w:firstLine="640"/>
        <w:rPr>
          <w:rFonts w:eastAsia="方正仿宋_GBK"/>
          <w:spacing w:val="-4"/>
          <w:sz w:val="32"/>
          <w:szCs w:val="32"/>
        </w:rPr>
      </w:pPr>
      <w:r>
        <w:rPr>
          <w:rFonts w:eastAsia="方正仿宋_GBK"/>
          <w:spacing w:val="-4"/>
          <w:sz w:val="32"/>
          <w:szCs w:val="32"/>
        </w:rPr>
        <w:t>6.社会保障和就业（类）行政事业单位养老支出（款）行政单位离退休（项）支出决算为122.28万元，完成预算100%。</w:t>
      </w:r>
    </w:p>
    <w:p w14:paraId="16E02AF7">
      <w:pPr>
        <w:spacing w:line="560" w:lineRule="exact"/>
        <w:ind w:firstLine="640"/>
        <w:rPr>
          <w:rFonts w:eastAsia="方正仿宋_GBK"/>
          <w:spacing w:val="-4"/>
          <w:sz w:val="32"/>
          <w:szCs w:val="32"/>
        </w:rPr>
      </w:pPr>
      <w:r>
        <w:rPr>
          <w:rFonts w:eastAsia="方正仿宋_GBK"/>
          <w:spacing w:val="-4"/>
          <w:sz w:val="32"/>
          <w:szCs w:val="32"/>
        </w:rPr>
        <w:t>7.社会保障和就业（类）行政事业单位养老支出（款）机关事业单位基本养老保险缴费支出（项）支出决算为51.72万元，完成预算100%。</w:t>
      </w:r>
    </w:p>
    <w:p w14:paraId="55D84DAC">
      <w:pPr>
        <w:pStyle w:val="2"/>
        <w:spacing w:before="93"/>
        <w:ind w:firstLine="624" w:firstLineChars="200"/>
      </w:pPr>
      <w:r>
        <w:rPr>
          <w:rFonts w:eastAsia="方正仿宋_GBK"/>
          <w:spacing w:val="-4"/>
          <w:sz w:val="32"/>
          <w:szCs w:val="32"/>
        </w:rPr>
        <w:t>8.社会保障和就业（类）行政事业单位养老支出（款）</w:t>
      </w:r>
      <w:r>
        <w:rPr>
          <w:rFonts w:hint="eastAsia" w:eastAsia="方正仿宋_GBK"/>
          <w:spacing w:val="-4"/>
          <w:sz w:val="32"/>
          <w:szCs w:val="32"/>
        </w:rPr>
        <w:t>机关事业单位职业年金缴费支出</w:t>
      </w:r>
      <w:r>
        <w:rPr>
          <w:rFonts w:eastAsia="方正仿宋_GBK"/>
          <w:spacing w:val="-4"/>
          <w:sz w:val="32"/>
          <w:szCs w:val="32"/>
        </w:rPr>
        <w:t>（项）支出决算为27.57万元，完成预算100%。</w:t>
      </w:r>
    </w:p>
    <w:p w14:paraId="462F6810">
      <w:pPr>
        <w:pStyle w:val="2"/>
        <w:spacing w:before="93"/>
        <w:ind w:firstLine="624" w:firstLineChars="200"/>
      </w:pPr>
      <w:r>
        <w:rPr>
          <w:rFonts w:eastAsia="方正仿宋_GBK"/>
          <w:spacing w:val="-4"/>
          <w:sz w:val="32"/>
          <w:szCs w:val="32"/>
        </w:rPr>
        <w:t>9.社会保障和就业（类）</w:t>
      </w:r>
      <w:r>
        <w:rPr>
          <w:rFonts w:hint="eastAsia" w:eastAsia="方正仿宋_GBK"/>
          <w:spacing w:val="-4"/>
          <w:sz w:val="32"/>
          <w:szCs w:val="32"/>
        </w:rPr>
        <w:t>抚恤</w:t>
      </w:r>
      <w:r>
        <w:rPr>
          <w:rFonts w:eastAsia="方正仿宋_GBK"/>
          <w:spacing w:val="-4"/>
          <w:sz w:val="32"/>
          <w:szCs w:val="32"/>
        </w:rPr>
        <w:t>（款）</w:t>
      </w:r>
      <w:r>
        <w:rPr>
          <w:rFonts w:hint="eastAsia" w:eastAsia="方正仿宋_GBK"/>
          <w:spacing w:val="-4"/>
          <w:sz w:val="32"/>
          <w:szCs w:val="32"/>
        </w:rPr>
        <w:t>死亡抚恤</w:t>
      </w:r>
      <w:r>
        <w:rPr>
          <w:rFonts w:eastAsia="方正仿宋_GBK"/>
          <w:spacing w:val="-4"/>
          <w:sz w:val="32"/>
          <w:szCs w:val="32"/>
        </w:rPr>
        <w:t>（项）支出决算为25.85万元，完成预算100%。</w:t>
      </w:r>
    </w:p>
    <w:p w14:paraId="25A6D107">
      <w:pPr>
        <w:pStyle w:val="2"/>
        <w:spacing w:beforeLines="0" w:line="560" w:lineRule="exact"/>
        <w:ind w:firstLine="624" w:firstLineChars="200"/>
        <w:rPr>
          <w:rFonts w:ascii="Times New Roman" w:eastAsia="方正仿宋_GBK"/>
          <w:spacing w:val="-4"/>
          <w:kern w:val="2"/>
          <w:sz w:val="32"/>
          <w:szCs w:val="32"/>
        </w:rPr>
      </w:pPr>
      <w:r>
        <w:rPr>
          <w:rFonts w:ascii="Times New Roman" w:eastAsia="方正仿宋_GBK"/>
          <w:spacing w:val="-4"/>
          <w:kern w:val="2"/>
          <w:sz w:val="32"/>
          <w:szCs w:val="32"/>
        </w:rPr>
        <w:t>10.社会保障和就业（类）社会福利（款）儿童福利（项）支出决算为1.19万元，完成预算100%。</w:t>
      </w:r>
    </w:p>
    <w:p w14:paraId="117A3D7E">
      <w:pPr>
        <w:spacing w:line="560" w:lineRule="exact"/>
        <w:ind w:firstLine="640"/>
        <w:rPr>
          <w:rFonts w:eastAsia="方正仿宋_GBK"/>
          <w:spacing w:val="-4"/>
          <w:sz w:val="32"/>
          <w:szCs w:val="32"/>
        </w:rPr>
      </w:pPr>
      <w:r>
        <w:rPr>
          <w:rFonts w:eastAsia="方正仿宋_GBK"/>
          <w:spacing w:val="-4"/>
          <w:sz w:val="32"/>
          <w:szCs w:val="32"/>
        </w:rPr>
        <w:t>11.卫生健康支出（类）行政事业单位医疗（款）行政单位医疗支出决算为12.58万元，完成预算100%。</w:t>
      </w:r>
    </w:p>
    <w:p w14:paraId="33B849CC">
      <w:pPr>
        <w:spacing w:line="560" w:lineRule="exact"/>
        <w:ind w:firstLine="640"/>
        <w:rPr>
          <w:rFonts w:eastAsia="方正仿宋_GBK"/>
          <w:spacing w:val="-4"/>
          <w:sz w:val="32"/>
          <w:szCs w:val="32"/>
        </w:rPr>
      </w:pPr>
      <w:r>
        <w:rPr>
          <w:rFonts w:eastAsia="方正仿宋_GBK"/>
          <w:spacing w:val="-4"/>
          <w:sz w:val="32"/>
          <w:szCs w:val="32"/>
        </w:rPr>
        <w:t>12.卫生健康支出（类）行政事业单位医疗（款）事业单位医疗支出决算为13.17万元，完成预算100%。</w:t>
      </w:r>
    </w:p>
    <w:p w14:paraId="25E2A6D8">
      <w:pPr>
        <w:spacing w:line="560" w:lineRule="exact"/>
        <w:ind w:firstLine="640"/>
        <w:rPr>
          <w:rFonts w:eastAsia="方正仿宋_GBK"/>
          <w:spacing w:val="-4"/>
          <w:sz w:val="32"/>
          <w:szCs w:val="32"/>
        </w:rPr>
      </w:pPr>
      <w:r>
        <w:rPr>
          <w:rFonts w:eastAsia="方正仿宋_GBK"/>
          <w:spacing w:val="-4"/>
          <w:sz w:val="32"/>
          <w:szCs w:val="32"/>
        </w:rPr>
        <w:t>13.卫生健康支出（类）行政事业单位医疗（款）</w:t>
      </w:r>
      <w:r>
        <w:rPr>
          <w:rFonts w:hint="eastAsia" w:eastAsia="方正仿宋_GBK"/>
          <w:spacing w:val="-4"/>
          <w:sz w:val="32"/>
          <w:szCs w:val="32"/>
        </w:rPr>
        <w:t>公务</w:t>
      </w:r>
      <w:r>
        <w:rPr>
          <w:rFonts w:eastAsia="方正仿宋_GBK"/>
          <w:spacing w:val="-4"/>
          <w:sz w:val="32"/>
          <w:szCs w:val="32"/>
        </w:rPr>
        <w:t>员医疗补助支出决算为2.81万元，完成预算100%。</w:t>
      </w:r>
    </w:p>
    <w:p w14:paraId="78A2A625">
      <w:pPr>
        <w:spacing w:line="560" w:lineRule="exact"/>
        <w:ind w:firstLine="640"/>
        <w:rPr>
          <w:rFonts w:eastAsia="方正仿宋_GBK"/>
          <w:spacing w:val="-4"/>
          <w:sz w:val="32"/>
          <w:szCs w:val="32"/>
        </w:rPr>
      </w:pPr>
      <w:r>
        <w:rPr>
          <w:rFonts w:eastAsia="方正仿宋_GBK"/>
          <w:spacing w:val="-4"/>
          <w:sz w:val="32"/>
          <w:szCs w:val="32"/>
        </w:rPr>
        <w:t>14.卫生健康支出（类）行政事业单位医疗（款）其他行政事业单位医疗支出决算为3.06万元，完成预算100%。</w:t>
      </w:r>
    </w:p>
    <w:p w14:paraId="3024045C">
      <w:pPr>
        <w:spacing w:line="560" w:lineRule="exact"/>
        <w:ind w:firstLine="640"/>
        <w:rPr>
          <w:rFonts w:eastAsia="方正仿宋_GBK"/>
          <w:spacing w:val="-4"/>
          <w:sz w:val="32"/>
          <w:szCs w:val="32"/>
        </w:rPr>
      </w:pPr>
      <w:r>
        <w:rPr>
          <w:rFonts w:eastAsia="方正仿宋_GBK"/>
          <w:spacing w:val="-4"/>
          <w:sz w:val="32"/>
          <w:szCs w:val="32"/>
        </w:rPr>
        <w:t>15.其他卫生健康支出（款）其他卫生健康支出决算为0.36万元，完成预算100%。</w:t>
      </w:r>
    </w:p>
    <w:p w14:paraId="4EEB5107">
      <w:pPr>
        <w:spacing w:line="560" w:lineRule="exact"/>
        <w:ind w:firstLine="640"/>
        <w:rPr>
          <w:rFonts w:eastAsia="方正仿宋_GBK"/>
          <w:spacing w:val="-4"/>
          <w:sz w:val="32"/>
          <w:szCs w:val="32"/>
        </w:rPr>
      </w:pPr>
      <w:r>
        <w:rPr>
          <w:rFonts w:eastAsia="方正仿宋_GBK"/>
          <w:spacing w:val="-4"/>
          <w:sz w:val="32"/>
          <w:szCs w:val="32"/>
        </w:rPr>
        <w:t>16.住房保障支出（类）住房改革支出（款）住房公积金（项）支出决算为39.07万元，完成预算100%。</w:t>
      </w:r>
    </w:p>
    <w:p w14:paraId="02A8DB38">
      <w:pPr>
        <w:tabs>
          <w:tab w:val="right" w:pos="8306"/>
        </w:tabs>
        <w:spacing w:line="560" w:lineRule="exact"/>
        <w:ind w:firstLine="641"/>
        <w:outlineLvl w:val="1"/>
        <w:rPr>
          <w:rStyle w:val="30"/>
          <w:rFonts w:ascii="Times New Roman" w:hAnsi="Times New Roman" w:cs="Times New Roman"/>
          <w:spacing w:val="-4"/>
        </w:rPr>
      </w:pPr>
      <w:bookmarkStart w:id="46" w:name="_Toc7206"/>
      <w:bookmarkStart w:id="47" w:name="_Toc15377214"/>
      <w:bookmarkStart w:id="48" w:name="_Toc15396608"/>
      <w:r>
        <w:rPr>
          <w:rFonts w:hint="eastAsia" w:ascii="方正黑体_GBK" w:hAnsi="方正黑体_GBK" w:eastAsia="方正黑体_GBK" w:cs="方正黑体_GBK"/>
          <w:spacing w:val="-4"/>
          <w:sz w:val="32"/>
          <w:szCs w:val="32"/>
        </w:rPr>
        <w:t>六</w:t>
      </w:r>
      <w:r>
        <w:rPr>
          <w:rFonts w:hint="eastAsia" w:ascii="方正黑体_GBK" w:hAnsi="方正黑体_GBK" w:eastAsia="方正黑体_GBK" w:cs="方正黑体_GBK"/>
          <w:b/>
          <w:spacing w:val="-4"/>
          <w:sz w:val="32"/>
          <w:szCs w:val="32"/>
        </w:rPr>
        <w:t>、一</w:t>
      </w:r>
      <w:r>
        <w:rPr>
          <w:rStyle w:val="30"/>
          <w:rFonts w:hint="eastAsia" w:ascii="方正黑体_GBK" w:hAnsi="方正黑体_GBK" w:eastAsia="方正黑体_GBK" w:cs="方正黑体_GBK"/>
          <w:b w:val="0"/>
          <w:spacing w:val="-4"/>
        </w:rPr>
        <w:t>般公共预算财政拨款基本支出决算情况说明</w:t>
      </w:r>
      <w:bookmarkEnd w:id="46"/>
      <w:bookmarkEnd w:id="47"/>
      <w:bookmarkEnd w:id="48"/>
      <w:r>
        <w:rPr>
          <w:rStyle w:val="30"/>
          <w:rFonts w:ascii="Times New Roman" w:hAnsi="Times New Roman" w:eastAsia="黑体" w:cs="Times New Roman"/>
          <w:b w:val="0"/>
          <w:spacing w:val="-4"/>
        </w:rPr>
        <w:tab/>
      </w:r>
    </w:p>
    <w:p w14:paraId="3764576F">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一般公共预算财政拨款基本支出</w:t>
      </w:r>
      <w:r>
        <w:rPr>
          <w:rFonts w:hint="eastAsia" w:eastAsia="方正仿宋_GBK"/>
          <w:spacing w:val="-4"/>
          <w:sz w:val="32"/>
          <w:szCs w:val="32"/>
        </w:rPr>
        <w:t>732.05</w:t>
      </w:r>
      <w:r>
        <w:rPr>
          <w:rFonts w:eastAsia="方正仿宋_GBK"/>
          <w:spacing w:val="-4"/>
          <w:sz w:val="32"/>
          <w:szCs w:val="32"/>
        </w:rPr>
        <w:t>万元，其中：</w:t>
      </w:r>
    </w:p>
    <w:p w14:paraId="6AED80CE">
      <w:pPr>
        <w:spacing w:line="560" w:lineRule="exact"/>
        <w:ind w:firstLine="641"/>
        <w:rPr>
          <w:rFonts w:eastAsia="方正仿宋_GBK"/>
          <w:spacing w:val="-4"/>
          <w:sz w:val="32"/>
          <w:szCs w:val="32"/>
        </w:rPr>
      </w:pPr>
      <w:r>
        <w:rPr>
          <w:rFonts w:eastAsia="方正仿宋_GBK"/>
          <w:spacing w:val="-4"/>
          <w:sz w:val="32"/>
          <w:szCs w:val="32"/>
        </w:rPr>
        <w:t>人员经费650.38万元，主要包括：基本工资、津贴补贴、奖金、绩效工资、机关事业单位基本养老保险缴费、</w:t>
      </w:r>
      <w:r>
        <w:rPr>
          <w:rFonts w:hint="eastAsia" w:eastAsia="方正仿宋_GBK"/>
          <w:spacing w:val="-4"/>
          <w:sz w:val="32"/>
          <w:szCs w:val="32"/>
        </w:rPr>
        <w:t>职业年金缴费、</w:t>
      </w:r>
      <w:r>
        <w:rPr>
          <w:rFonts w:eastAsia="方正仿宋_GBK"/>
          <w:spacing w:val="-4"/>
          <w:sz w:val="32"/>
          <w:szCs w:val="32"/>
        </w:rPr>
        <w:t>职工基本医疗保险缴费、其他社会保障缴费、住房公积金、离休费、</w:t>
      </w:r>
      <w:r>
        <w:rPr>
          <w:rFonts w:hint="eastAsia" w:eastAsia="方正仿宋_GBK"/>
          <w:spacing w:val="-4"/>
          <w:sz w:val="32"/>
          <w:szCs w:val="32"/>
        </w:rPr>
        <w:t>抚恤金、</w:t>
      </w:r>
      <w:r>
        <w:rPr>
          <w:rFonts w:eastAsia="方正仿宋_GBK"/>
          <w:spacing w:val="-4"/>
          <w:sz w:val="32"/>
          <w:szCs w:val="32"/>
        </w:rPr>
        <w:t>生活补助、医疗费补助。</w:t>
      </w:r>
      <w:r>
        <w:rPr>
          <w:rFonts w:eastAsia="方正仿宋_GBK"/>
          <w:spacing w:val="-4"/>
          <w:sz w:val="32"/>
          <w:szCs w:val="32"/>
        </w:rPr>
        <w:br w:type="textWrapping"/>
      </w:r>
      <w:r>
        <w:rPr>
          <w:rFonts w:hint="eastAsia" w:eastAsia="方正仿宋_GBK"/>
          <w:spacing w:val="-4"/>
          <w:sz w:val="32"/>
          <w:szCs w:val="32"/>
        </w:rPr>
        <w:t xml:space="preserve">    </w:t>
      </w:r>
      <w:r>
        <w:rPr>
          <w:rFonts w:eastAsia="方正仿宋_GBK"/>
          <w:spacing w:val="-4"/>
          <w:sz w:val="32"/>
          <w:szCs w:val="32"/>
        </w:rPr>
        <w:t>公用经费81.67万元，主要包括：办公费、水费、邮电费、物业管理费、差旅费、租赁费、会议费、培训费、公务接待费、委托业务费、工会经费、福利费、公务用车运行维护费、其他交通费、其他商品和服务支出。</w:t>
      </w:r>
    </w:p>
    <w:p w14:paraId="10CF98C1">
      <w:pPr>
        <w:spacing w:line="560" w:lineRule="exact"/>
        <w:ind w:firstLine="641"/>
        <w:outlineLvl w:val="1"/>
        <w:rPr>
          <w:rStyle w:val="30"/>
          <w:rFonts w:ascii="方正黑体_GBK" w:hAnsi="方正黑体_GBK" w:eastAsia="方正黑体_GBK" w:cs="方正黑体_GBK"/>
          <w:b w:val="0"/>
          <w:spacing w:val="-4"/>
        </w:rPr>
      </w:pPr>
      <w:bookmarkStart w:id="49" w:name="_Toc15396609"/>
      <w:bookmarkStart w:id="50" w:name="_Toc15377215"/>
      <w:bookmarkStart w:id="51" w:name="_Toc23759"/>
      <w:r>
        <w:rPr>
          <w:rFonts w:hint="eastAsia" w:ascii="方正黑体_GBK" w:hAnsi="方正黑体_GBK" w:eastAsia="方正黑体_GBK" w:cs="方正黑体_GBK"/>
          <w:spacing w:val="-4"/>
          <w:sz w:val="32"/>
          <w:szCs w:val="32"/>
        </w:rPr>
        <w:t>七、</w:t>
      </w:r>
      <w:r>
        <w:rPr>
          <w:rStyle w:val="30"/>
          <w:rFonts w:hint="eastAsia" w:ascii="方正黑体_GBK" w:hAnsi="方正黑体_GBK" w:eastAsia="方正黑体_GBK" w:cs="方正黑体_GBK"/>
          <w:b w:val="0"/>
          <w:spacing w:val="-4"/>
        </w:rPr>
        <w:t>财政拨款</w:t>
      </w:r>
      <w:r>
        <w:rPr>
          <w:rStyle w:val="30"/>
          <w:rFonts w:hint="eastAsia" w:ascii="方正黑体_GBK" w:hAnsi="方正黑体_GBK" w:eastAsia="方正黑体_GBK" w:cs="方正黑体_GBK"/>
          <w:spacing w:val="-4"/>
        </w:rPr>
        <w:t>“</w:t>
      </w:r>
      <w:r>
        <w:rPr>
          <w:rStyle w:val="30"/>
          <w:rFonts w:hint="eastAsia" w:ascii="方正黑体_GBK" w:hAnsi="方正黑体_GBK" w:eastAsia="方正黑体_GBK" w:cs="方正黑体_GBK"/>
          <w:b w:val="0"/>
          <w:spacing w:val="-4"/>
        </w:rPr>
        <w:t>三公”经费支出决算情况说明</w:t>
      </w:r>
      <w:bookmarkEnd w:id="49"/>
      <w:bookmarkEnd w:id="50"/>
      <w:bookmarkEnd w:id="51"/>
    </w:p>
    <w:p w14:paraId="7181CA99">
      <w:pPr>
        <w:spacing w:line="560" w:lineRule="exact"/>
        <w:ind w:firstLine="641"/>
        <w:rPr>
          <w:rFonts w:ascii="方正楷体_GBK" w:hAnsi="方正楷体_GBK" w:eastAsia="方正楷体_GBK"/>
          <w:b/>
          <w:spacing w:val="-4"/>
          <w:sz w:val="32"/>
          <w:szCs w:val="32"/>
        </w:rPr>
      </w:pPr>
      <w:bookmarkStart w:id="52" w:name="_Toc15377216"/>
      <w:r>
        <w:rPr>
          <w:rFonts w:ascii="方正楷体_GBK" w:hAnsi="方正楷体_GBK" w:eastAsia="方正楷体_GBK"/>
          <w:b/>
          <w:spacing w:val="-4"/>
          <w:sz w:val="32"/>
          <w:szCs w:val="32"/>
        </w:rPr>
        <w:t>（一）“三公”经费财政拨款支出决算总体情况说明</w:t>
      </w:r>
      <w:bookmarkEnd w:id="52"/>
    </w:p>
    <w:p w14:paraId="57CE96DB">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“三公”经费财政拨款支出决算为5.81万元，完成预算100%，较上年</w:t>
      </w:r>
      <w:r>
        <w:rPr>
          <w:rFonts w:hint="eastAsia" w:eastAsia="方正仿宋_GBK"/>
          <w:spacing w:val="-4"/>
          <w:sz w:val="32"/>
          <w:szCs w:val="32"/>
        </w:rPr>
        <w:t>减少0.2</w:t>
      </w:r>
      <w:r>
        <w:rPr>
          <w:rFonts w:eastAsia="方正仿宋_GBK"/>
          <w:spacing w:val="-4"/>
          <w:sz w:val="32"/>
          <w:szCs w:val="32"/>
        </w:rPr>
        <w:t>5万元，</w:t>
      </w:r>
      <w:r>
        <w:rPr>
          <w:rFonts w:hint="eastAsia" w:eastAsia="方正仿宋_GBK"/>
          <w:spacing w:val="-4"/>
          <w:sz w:val="32"/>
          <w:szCs w:val="32"/>
        </w:rPr>
        <w:t>下</w:t>
      </w:r>
      <w:r>
        <w:rPr>
          <w:rFonts w:eastAsia="方正仿宋_GBK"/>
          <w:spacing w:val="-4"/>
          <w:sz w:val="32"/>
          <w:szCs w:val="32"/>
        </w:rPr>
        <w:t>降4.3%。决算数与预算数持平。</w:t>
      </w:r>
    </w:p>
    <w:p w14:paraId="7705A110">
      <w:pPr>
        <w:spacing w:line="560" w:lineRule="exact"/>
        <w:ind w:firstLine="641"/>
        <w:rPr>
          <w:rFonts w:ascii="方正楷体_GBK" w:hAnsi="方正楷体_GBK" w:eastAsia="方正楷体_GBK"/>
          <w:b/>
          <w:spacing w:val="-4"/>
          <w:sz w:val="32"/>
          <w:szCs w:val="32"/>
        </w:rPr>
      </w:pPr>
      <w:bookmarkStart w:id="53" w:name="_Toc15377217"/>
      <w:r>
        <w:rPr>
          <w:rFonts w:ascii="方正楷体_GBK" w:hAnsi="方正楷体_GBK" w:eastAsia="方正楷体_GBK"/>
          <w:b/>
          <w:spacing w:val="-4"/>
          <w:sz w:val="32"/>
          <w:szCs w:val="32"/>
        </w:rPr>
        <w:t>（二）“三公”经费财政拨款支出决算具体情况说明</w:t>
      </w:r>
      <w:bookmarkEnd w:id="53"/>
    </w:p>
    <w:p w14:paraId="4635DC19">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“三公”经费财政拨款支出决算中，因公出国（境）费支出决算0万元，占0%；公务用车购置及运行维护费支出决算4.82万元，占82.96%；公务接待费支出决算0.9</w:t>
      </w:r>
      <w:r>
        <w:rPr>
          <w:rFonts w:hint="eastAsia" w:eastAsia="方正仿宋_GBK"/>
          <w:spacing w:val="-4"/>
          <w:sz w:val="32"/>
          <w:szCs w:val="32"/>
        </w:rPr>
        <w:t>9</w:t>
      </w:r>
      <w:r>
        <w:rPr>
          <w:rFonts w:eastAsia="方正仿宋_GBK"/>
          <w:spacing w:val="-4"/>
          <w:sz w:val="32"/>
          <w:szCs w:val="32"/>
        </w:rPr>
        <w:t>万元，占17.04%。</w:t>
      </w:r>
    </w:p>
    <w:p w14:paraId="472FBD78">
      <w:pPr>
        <w:spacing w:line="560" w:lineRule="exact"/>
        <w:ind w:firstLine="641"/>
        <w:rPr>
          <w:rFonts w:eastAsia="方正仿宋_GBK"/>
          <w:spacing w:val="-4"/>
          <w:sz w:val="32"/>
          <w:szCs w:val="32"/>
        </w:rPr>
      </w:pPr>
      <w:r>
        <w:rPr>
          <w:rFonts w:eastAsia="方正仿宋_GBK"/>
          <w:spacing w:val="-4"/>
          <w:sz w:val="32"/>
          <w:szCs w:val="32"/>
        </w:rPr>
        <w:drawing>
          <wp:anchor distT="0" distB="0" distL="114300" distR="114300" simplePos="0" relativeHeight="251664384" behindDoc="0" locked="0" layoutInCell="1" allowOverlap="1">
            <wp:simplePos x="0" y="0"/>
            <wp:positionH relativeFrom="column">
              <wp:posOffset>821690</wp:posOffset>
            </wp:positionH>
            <wp:positionV relativeFrom="paragraph">
              <wp:posOffset>239395</wp:posOffset>
            </wp:positionV>
            <wp:extent cx="3942080" cy="2137410"/>
            <wp:effectExtent l="0" t="0" r="0" b="0"/>
            <wp:wrapTopAndBottom/>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eastAsia="方正仿宋_GBK"/>
          <w:spacing w:val="-4"/>
          <w:sz w:val="32"/>
          <w:szCs w:val="32"/>
        </w:rPr>
        <w:t>具体情况如下：</w:t>
      </w:r>
    </w:p>
    <w:p w14:paraId="6B869248">
      <w:pPr>
        <w:spacing w:line="560" w:lineRule="exact"/>
        <w:ind w:firstLine="640"/>
        <w:rPr>
          <w:rFonts w:eastAsia="方正仿宋_GBK"/>
          <w:spacing w:val="-4"/>
          <w:sz w:val="32"/>
          <w:szCs w:val="32"/>
        </w:rPr>
      </w:pPr>
      <w:r>
        <w:rPr>
          <w:rFonts w:eastAsia="方正仿宋_GBK"/>
          <w:b/>
          <w:spacing w:val="-4"/>
          <w:sz w:val="32"/>
          <w:szCs w:val="32"/>
        </w:rPr>
        <w:t>1.因公出国（境）经费支出0万元</w:t>
      </w:r>
      <w:r>
        <w:rPr>
          <w:rFonts w:eastAsia="方正仿宋_GBK"/>
          <w:spacing w:val="-4"/>
          <w:sz w:val="32"/>
          <w:szCs w:val="32"/>
        </w:rPr>
        <w:t>。</w:t>
      </w:r>
    </w:p>
    <w:p w14:paraId="7B802972">
      <w:pPr>
        <w:spacing w:line="560" w:lineRule="exact"/>
        <w:ind w:firstLine="640"/>
        <w:rPr>
          <w:rFonts w:eastAsia="方正仿宋_GBK"/>
          <w:spacing w:val="-4"/>
          <w:sz w:val="32"/>
          <w:szCs w:val="32"/>
        </w:rPr>
      </w:pPr>
      <w:r>
        <w:rPr>
          <w:rFonts w:eastAsia="方正仿宋_GBK"/>
          <w:b/>
          <w:spacing w:val="-4"/>
          <w:sz w:val="32"/>
          <w:szCs w:val="32"/>
        </w:rPr>
        <w:t>2.公务用车购置及运行维护费支出4.82万元</w:t>
      </w:r>
      <w:r>
        <w:rPr>
          <w:rFonts w:eastAsia="方正仿宋_GBK"/>
          <w:spacing w:val="-4"/>
          <w:sz w:val="32"/>
          <w:szCs w:val="32"/>
        </w:rPr>
        <w:t>,</w:t>
      </w:r>
      <w:r>
        <w:rPr>
          <w:rStyle w:val="17"/>
          <w:rFonts w:eastAsia="方正仿宋_GBK"/>
          <w:bCs/>
          <w:spacing w:val="-4"/>
          <w:sz w:val="32"/>
          <w:szCs w:val="32"/>
        </w:rPr>
        <w:t>完成预算100%。</w:t>
      </w:r>
      <w:r>
        <w:rPr>
          <w:rFonts w:eastAsia="方正仿宋_GBK"/>
          <w:spacing w:val="-4"/>
          <w:sz w:val="32"/>
          <w:szCs w:val="32"/>
        </w:rPr>
        <w:t>公务用车购置及运行维护费支出决算比2024年</w:t>
      </w:r>
      <w:r>
        <w:rPr>
          <w:rFonts w:hint="eastAsia" w:eastAsia="方正仿宋_GBK"/>
          <w:spacing w:val="-4"/>
          <w:sz w:val="32"/>
          <w:szCs w:val="32"/>
        </w:rPr>
        <w:t>度减少0.2</w:t>
      </w:r>
      <w:r>
        <w:rPr>
          <w:rFonts w:eastAsia="方正仿宋_GBK"/>
          <w:spacing w:val="-4"/>
          <w:sz w:val="32"/>
          <w:szCs w:val="32"/>
        </w:rPr>
        <w:t>5万元，</w:t>
      </w:r>
      <w:r>
        <w:rPr>
          <w:rFonts w:hint="eastAsia" w:eastAsia="方正仿宋_GBK"/>
          <w:spacing w:val="-4"/>
          <w:sz w:val="32"/>
          <w:szCs w:val="32"/>
        </w:rPr>
        <w:t>下</w:t>
      </w:r>
      <w:r>
        <w:rPr>
          <w:rFonts w:eastAsia="方正仿宋_GBK"/>
          <w:spacing w:val="-4"/>
          <w:sz w:val="32"/>
          <w:szCs w:val="32"/>
        </w:rPr>
        <w:t>降4.3%。主要</w:t>
      </w:r>
      <w:r>
        <w:rPr>
          <w:rFonts w:hint="eastAsia" w:eastAsia="方正仿宋_GBK"/>
          <w:spacing w:val="-4"/>
          <w:sz w:val="32"/>
          <w:szCs w:val="32"/>
        </w:rPr>
        <w:t>是</w:t>
      </w:r>
      <w:r>
        <w:rPr>
          <w:rFonts w:eastAsia="方正仿宋_GBK"/>
          <w:spacing w:val="-4"/>
          <w:sz w:val="32"/>
          <w:szCs w:val="32"/>
        </w:rPr>
        <w:t>因为本年公务车运维支出</w:t>
      </w:r>
      <w:r>
        <w:rPr>
          <w:rFonts w:hint="eastAsia" w:eastAsia="方正仿宋_GBK"/>
          <w:spacing w:val="-4"/>
          <w:sz w:val="32"/>
          <w:szCs w:val="32"/>
        </w:rPr>
        <w:t>减少</w:t>
      </w:r>
      <w:r>
        <w:rPr>
          <w:rFonts w:eastAsia="方正仿宋_GBK"/>
          <w:spacing w:val="-4"/>
          <w:sz w:val="32"/>
          <w:szCs w:val="32"/>
        </w:rPr>
        <w:t>。</w:t>
      </w:r>
    </w:p>
    <w:p w14:paraId="3B0EA23E">
      <w:pPr>
        <w:spacing w:line="560" w:lineRule="exact"/>
        <w:ind w:firstLine="624" w:firstLineChars="200"/>
        <w:rPr>
          <w:rFonts w:eastAsia="方正仿宋_GBK"/>
          <w:spacing w:val="-4"/>
          <w:sz w:val="32"/>
          <w:szCs w:val="32"/>
        </w:rPr>
      </w:pPr>
      <w:r>
        <w:rPr>
          <w:rFonts w:eastAsia="方正仿宋_GBK"/>
          <w:spacing w:val="-4"/>
          <w:sz w:val="32"/>
          <w:szCs w:val="32"/>
        </w:rPr>
        <w:t>其中：公务用车购置支出0万元。全年按规定更新购置公务用车0辆。截至2025年12月底，单位共有公务用车3辆，其中：轿车2辆、越野车0辆、载客汽车0辆、特种车辆1辆（科普大篷车）。</w:t>
      </w:r>
    </w:p>
    <w:p w14:paraId="49C30D39">
      <w:pPr>
        <w:spacing w:line="560" w:lineRule="exact"/>
        <w:ind w:firstLine="640"/>
        <w:rPr>
          <w:rFonts w:eastAsia="仿宋_GB2312"/>
          <w:spacing w:val="-4"/>
          <w:sz w:val="32"/>
          <w:szCs w:val="32"/>
        </w:rPr>
      </w:pPr>
      <w:r>
        <w:rPr>
          <w:rFonts w:eastAsia="方正仿宋_GBK"/>
          <w:spacing w:val="-4"/>
          <w:sz w:val="32"/>
          <w:szCs w:val="32"/>
        </w:rPr>
        <w:t>公务用车运行维护费支出4.82万元。主要用于科普下乡、工作调研、成员单位联系、接送来访专家等所需的公务用车燃料费、维修费、过路费、保险费等支出。</w:t>
      </w:r>
    </w:p>
    <w:p w14:paraId="79D84579">
      <w:pPr>
        <w:widowControl/>
        <w:spacing w:line="560" w:lineRule="exact"/>
        <w:ind w:firstLine="627" w:firstLineChars="200"/>
        <w:jc w:val="left"/>
        <w:rPr>
          <w:rFonts w:eastAsia="方正仿宋_GBK"/>
          <w:spacing w:val="-4"/>
          <w:sz w:val="32"/>
          <w:szCs w:val="32"/>
        </w:rPr>
      </w:pPr>
      <w:r>
        <w:rPr>
          <w:rFonts w:eastAsia="方正仿宋_GBK"/>
          <w:b/>
          <w:spacing w:val="-4"/>
          <w:sz w:val="32"/>
          <w:szCs w:val="32"/>
        </w:rPr>
        <w:t>3.公务接待费支出0.9</w:t>
      </w:r>
      <w:r>
        <w:rPr>
          <w:rFonts w:hint="eastAsia" w:eastAsia="方正仿宋_GBK"/>
          <w:b/>
          <w:spacing w:val="-4"/>
          <w:sz w:val="32"/>
          <w:szCs w:val="32"/>
        </w:rPr>
        <w:t>9</w:t>
      </w:r>
      <w:r>
        <w:rPr>
          <w:rFonts w:eastAsia="方正仿宋_GBK"/>
          <w:b/>
          <w:spacing w:val="-4"/>
          <w:sz w:val="32"/>
          <w:szCs w:val="32"/>
        </w:rPr>
        <w:t>万元，完成预算100%。</w:t>
      </w:r>
      <w:r>
        <w:rPr>
          <w:rFonts w:eastAsia="方正仿宋_GBK"/>
          <w:spacing w:val="-4"/>
          <w:sz w:val="32"/>
          <w:szCs w:val="32"/>
        </w:rPr>
        <w:t>公务接待费支出决算</w:t>
      </w:r>
      <w:r>
        <w:rPr>
          <w:rFonts w:hint="eastAsia" w:eastAsia="方正仿宋_GBK"/>
          <w:spacing w:val="-4"/>
          <w:sz w:val="32"/>
          <w:szCs w:val="32"/>
        </w:rPr>
        <w:t>与</w:t>
      </w:r>
      <w:r>
        <w:rPr>
          <w:rFonts w:eastAsia="方正仿宋_GBK"/>
          <w:spacing w:val="-4"/>
          <w:sz w:val="32"/>
          <w:szCs w:val="32"/>
        </w:rPr>
        <w:t>2024年</w:t>
      </w:r>
      <w:r>
        <w:rPr>
          <w:rFonts w:hint="eastAsia" w:eastAsia="方正仿宋_GBK"/>
          <w:spacing w:val="-4"/>
          <w:sz w:val="32"/>
          <w:szCs w:val="32"/>
        </w:rPr>
        <w:t>度持平</w:t>
      </w:r>
      <w:r>
        <w:rPr>
          <w:rFonts w:eastAsia="方正仿宋_GBK"/>
          <w:spacing w:val="-4"/>
          <w:sz w:val="32"/>
          <w:szCs w:val="32"/>
        </w:rPr>
        <w:t>。其中：</w:t>
      </w:r>
    </w:p>
    <w:p w14:paraId="6BF9689E">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国内公务接待支出0.9</w:t>
      </w:r>
      <w:r>
        <w:rPr>
          <w:rFonts w:hint="eastAsia" w:eastAsia="方正仿宋_GBK"/>
          <w:spacing w:val="-4"/>
          <w:sz w:val="32"/>
          <w:szCs w:val="32"/>
        </w:rPr>
        <w:t>9</w:t>
      </w:r>
      <w:r>
        <w:rPr>
          <w:rFonts w:eastAsia="方正仿宋_GBK"/>
          <w:spacing w:val="-4"/>
          <w:sz w:val="32"/>
          <w:szCs w:val="32"/>
        </w:rPr>
        <w:t>万元，主要用于执行公务、开展业务活动开支的用餐费。2025年</w:t>
      </w:r>
      <w:r>
        <w:rPr>
          <w:rFonts w:hint="eastAsia" w:eastAsia="方正仿宋_GBK"/>
          <w:spacing w:val="-4"/>
          <w:sz w:val="32"/>
          <w:szCs w:val="32"/>
        </w:rPr>
        <w:t>度</w:t>
      </w:r>
      <w:r>
        <w:rPr>
          <w:rFonts w:eastAsia="方正仿宋_GBK"/>
          <w:spacing w:val="-4"/>
          <w:sz w:val="32"/>
          <w:szCs w:val="32"/>
        </w:rPr>
        <w:t>共接待8批次，共计87人（含陪同人员），主要</w:t>
      </w:r>
      <w:r>
        <w:rPr>
          <w:rFonts w:hint="eastAsia" w:eastAsia="方正仿宋_GBK"/>
          <w:spacing w:val="-4"/>
          <w:sz w:val="32"/>
          <w:szCs w:val="32"/>
        </w:rPr>
        <w:t>为省</w:t>
      </w:r>
      <w:r>
        <w:rPr>
          <w:rFonts w:eastAsia="方正仿宋_GBK"/>
          <w:spacing w:val="-4"/>
          <w:sz w:val="32"/>
          <w:szCs w:val="32"/>
        </w:rPr>
        <w:t>科学家精神宣讲团来攀开展宣讲活动、省科协调研攀枝花免开资金绩效评价、</w:t>
      </w:r>
      <w:r>
        <w:rPr>
          <w:rFonts w:hint="eastAsia" w:eastAsia="方正仿宋_GBK"/>
          <w:spacing w:val="-4"/>
          <w:sz w:val="32"/>
          <w:szCs w:val="32"/>
        </w:rPr>
        <w:t>“</w:t>
      </w:r>
      <w:r>
        <w:rPr>
          <w:rFonts w:eastAsia="方正仿宋_GBK"/>
          <w:spacing w:val="-4"/>
          <w:sz w:val="32"/>
          <w:szCs w:val="32"/>
        </w:rPr>
        <w:t>科</w:t>
      </w:r>
      <w:r>
        <w:rPr>
          <w:rFonts w:hint="eastAsia" w:eastAsia="方正仿宋_GBK"/>
          <w:spacing w:val="-4"/>
          <w:sz w:val="32"/>
          <w:szCs w:val="32"/>
        </w:rPr>
        <w:t>创</w:t>
      </w:r>
      <w:r>
        <w:rPr>
          <w:rFonts w:eastAsia="方正仿宋_GBK"/>
          <w:spacing w:val="-4"/>
          <w:sz w:val="32"/>
          <w:szCs w:val="32"/>
        </w:rPr>
        <w:t>会</w:t>
      </w:r>
      <w:r>
        <w:rPr>
          <w:rFonts w:hint="eastAsia" w:eastAsia="方正仿宋_GBK"/>
          <w:spacing w:val="-4"/>
          <w:sz w:val="32"/>
          <w:szCs w:val="32"/>
        </w:rPr>
        <w:t>.</w:t>
      </w:r>
      <w:r>
        <w:rPr>
          <w:rFonts w:eastAsia="方正仿宋_GBK"/>
          <w:spacing w:val="-4"/>
          <w:sz w:val="32"/>
          <w:szCs w:val="32"/>
        </w:rPr>
        <w:t>攀</w:t>
      </w:r>
      <w:r>
        <w:rPr>
          <w:rFonts w:hint="eastAsia" w:eastAsia="方正仿宋_GBK"/>
          <w:spacing w:val="-4"/>
          <w:sz w:val="32"/>
          <w:szCs w:val="32"/>
        </w:rPr>
        <w:t>枝</w:t>
      </w:r>
      <w:r>
        <w:rPr>
          <w:rFonts w:eastAsia="方正仿宋_GBK"/>
          <w:spacing w:val="-4"/>
          <w:sz w:val="32"/>
          <w:szCs w:val="32"/>
        </w:rPr>
        <w:t>花行”供需对接活动相关人员</w:t>
      </w:r>
      <w:r>
        <w:rPr>
          <w:rFonts w:hint="eastAsia" w:eastAsia="方正仿宋_GBK"/>
          <w:spacing w:val="-4"/>
          <w:sz w:val="32"/>
          <w:szCs w:val="32"/>
        </w:rPr>
        <w:t>接</w:t>
      </w:r>
      <w:r>
        <w:rPr>
          <w:rFonts w:eastAsia="方正仿宋_GBK"/>
          <w:spacing w:val="-4"/>
          <w:sz w:val="32"/>
          <w:szCs w:val="32"/>
        </w:rPr>
        <w:t>待</w:t>
      </w:r>
      <w:r>
        <w:rPr>
          <w:rFonts w:hint="eastAsia" w:eastAsia="方正仿宋_GBK"/>
          <w:spacing w:val="-4"/>
          <w:sz w:val="32"/>
          <w:szCs w:val="32"/>
        </w:rPr>
        <w:t>餐</w:t>
      </w:r>
      <w:r>
        <w:rPr>
          <w:rFonts w:eastAsia="方正仿宋_GBK"/>
          <w:spacing w:val="-4"/>
          <w:sz w:val="32"/>
          <w:szCs w:val="32"/>
        </w:rPr>
        <w:t>费。</w:t>
      </w:r>
    </w:p>
    <w:p w14:paraId="3345B67B">
      <w:pPr>
        <w:spacing w:line="560" w:lineRule="exact"/>
        <w:ind w:firstLine="641"/>
        <w:outlineLvl w:val="1"/>
        <w:rPr>
          <w:rStyle w:val="30"/>
          <w:rFonts w:ascii="方正黑体_GBK" w:hAnsi="方正黑体_GBK" w:eastAsia="方正黑体_GBK" w:cs="方正黑体_GBK"/>
          <w:spacing w:val="-4"/>
        </w:rPr>
      </w:pPr>
      <w:bookmarkStart w:id="54" w:name="_Toc15377218"/>
      <w:bookmarkStart w:id="55" w:name="_Toc15396610"/>
      <w:bookmarkStart w:id="56" w:name="_Toc28490"/>
      <w:r>
        <w:rPr>
          <w:rFonts w:hint="eastAsia" w:ascii="方正黑体_GBK" w:hAnsi="方正黑体_GBK" w:eastAsia="方正黑体_GBK" w:cs="方正黑体_GBK"/>
          <w:spacing w:val="-4"/>
          <w:sz w:val="32"/>
          <w:szCs w:val="32"/>
        </w:rPr>
        <w:t>八、</w:t>
      </w:r>
      <w:r>
        <w:rPr>
          <w:rStyle w:val="30"/>
          <w:rFonts w:hint="eastAsia" w:ascii="方正黑体_GBK" w:hAnsi="方正黑体_GBK" w:eastAsia="方正黑体_GBK" w:cs="方正黑体_GBK"/>
          <w:b w:val="0"/>
          <w:spacing w:val="-4"/>
        </w:rPr>
        <w:t>政府性基金预算支出决算情况说明</w:t>
      </w:r>
      <w:bookmarkEnd w:id="54"/>
      <w:bookmarkEnd w:id="55"/>
      <w:bookmarkEnd w:id="56"/>
    </w:p>
    <w:p w14:paraId="1282E593">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政府性基金预算财政拨款支出0万元。</w:t>
      </w:r>
    </w:p>
    <w:p w14:paraId="0C732FB0">
      <w:pPr>
        <w:spacing w:line="560" w:lineRule="exact"/>
        <w:ind w:firstLine="641"/>
        <w:outlineLvl w:val="1"/>
        <w:rPr>
          <w:rFonts w:ascii="方正黑体_GBK" w:hAnsi="方正黑体_GBK" w:eastAsia="方正黑体_GBK" w:cs="方正黑体_GBK"/>
          <w:spacing w:val="-4"/>
          <w:sz w:val="32"/>
          <w:szCs w:val="32"/>
        </w:rPr>
      </w:pPr>
      <w:bookmarkStart w:id="57" w:name="_Toc15396611"/>
      <w:bookmarkStart w:id="58" w:name="_Toc15377219"/>
      <w:bookmarkStart w:id="59" w:name="_Toc31463"/>
      <w:r>
        <w:rPr>
          <w:rFonts w:hint="eastAsia" w:ascii="方正黑体_GBK" w:hAnsi="方正黑体_GBK" w:eastAsia="方正黑体_GBK" w:cs="方正黑体_GBK"/>
          <w:spacing w:val="-4"/>
          <w:sz w:val="32"/>
          <w:szCs w:val="32"/>
        </w:rPr>
        <w:t>九、国有资本经营预算支出决算情况说明</w:t>
      </w:r>
      <w:bookmarkEnd w:id="57"/>
      <w:bookmarkEnd w:id="58"/>
      <w:bookmarkEnd w:id="59"/>
    </w:p>
    <w:p w14:paraId="676EB421">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国有资本经营预算财政拨款支出0万元。</w:t>
      </w:r>
    </w:p>
    <w:p w14:paraId="63D87572">
      <w:pPr>
        <w:spacing w:line="560" w:lineRule="exact"/>
        <w:ind w:firstLine="624" w:firstLineChars="200"/>
        <w:outlineLvl w:val="1"/>
        <w:rPr>
          <w:rStyle w:val="30"/>
          <w:rFonts w:ascii="方正黑体_GBK" w:hAnsi="方正黑体_GBK" w:eastAsia="方正黑体_GBK" w:cs="方正黑体_GBK"/>
          <w:b w:val="0"/>
          <w:spacing w:val="-4"/>
        </w:rPr>
      </w:pPr>
      <w:bookmarkStart w:id="60" w:name="_Toc15377221"/>
      <w:bookmarkStart w:id="61" w:name="_Toc3473"/>
      <w:bookmarkStart w:id="62" w:name="_Toc15396612"/>
      <w:r>
        <w:rPr>
          <w:rStyle w:val="30"/>
          <w:rFonts w:hint="eastAsia" w:ascii="方正黑体_GBK" w:hAnsi="方正黑体_GBK" w:eastAsia="方正黑体_GBK" w:cs="方正黑体_GBK"/>
          <w:b w:val="0"/>
          <w:spacing w:val="-4"/>
        </w:rPr>
        <w:t>十、其他重要事项的情况说明</w:t>
      </w:r>
      <w:bookmarkEnd w:id="60"/>
      <w:bookmarkEnd w:id="61"/>
      <w:bookmarkEnd w:id="62"/>
    </w:p>
    <w:p w14:paraId="7B65FC82">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3" w:name="_Toc15377222"/>
      <w:r>
        <w:rPr>
          <w:rFonts w:ascii="方正楷体_GBK" w:hAnsi="方正楷体_GBK" w:eastAsia="方正楷体_GBK"/>
          <w:b/>
          <w:spacing w:val="-4"/>
          <w:sz w:val="32"/>
          <w:szCs w:val="32"/>
        </w:rPr>
        <w:t>（一）机关运行经费支出情况</w:t>
      </w:r>
      <w:bookmarkEnd w:id="63"/>
    </w:p>
    <w:p w14:paraId="4EADBD8F">
      <w:pPr>
        <w:widowControl/>
        <w:spacing w:line="560" w:lineRule="exact"/>
        <w:ind w:firstLine="624" w:firstLineChars="200"/>
        <w:jc w:val="left"/>
        <w:rPr>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，攀枝花市科学技术协会机关运行经费支出81.67万元，比2024年</w:t>
      </w:r>
      <w:r>
        <w:rPr>
          <w:rFonts w:hint="eastAsia" w:eastAsia="方正仿宋_GBK"/>
          <w:spacing w:val="-4"/>
          <w:sz w:val="32"/>
          <w:szCs w:val="32"/>
        </w:rPr>
        <w:t>度增加1.54</w:t>
      </w:r>
      <w:r>
        <w:rPr>
          <w:rFonts w:eastAsia="方正仿宋_GBK"/>
          <w:spacing w:val="-4"/>
          <w:sz w:val="32"/>
          <w:szCs w:val="32"/>
        </w:rPr>
        <w:t>万元，</w:t>
      </w:r>
      <w:r>
        <w:rPr>
          <w:rFonts w:hint="eastAsia" w:eastAsia="方正仿宋_GBK"/>
          <w:spacing w:val="-4"/>
          <w:sz w:val="32"/>
          <w:szCs w:val="32"/>
        </w:rPr>
        <w:t>增长1.92</w:t>
      </w:r>
      <w:r>
        <w:rPr>
          <w:rFonts w:eastAsia="方正仿宋_GBK"/>
          <w:spacing w:val="-4"/>
          <w:sz w:val="32"/>
          <w:szCs w:val="32"/>
        </w:rPr>
        <w:t>%。主要原因是</w:t>
      </w:r>
      <w:r>
        <w:rPr>
          <w:rFonts w:hint="eastAsia" w:eastAsia="方正仿宋_GBK"/>
          <w:spacing w:val="-4"/>
          <w:sz w:val="32"/>
          <w:szCs w:val="32"/>
        </w:rPr>
        <w:t>202</w:t>
      </w:r>
      <w:r>
        <w:rPr>
          <w:rFonts w:eastAsia="方正仿宋_GBK"/>
          <w:spacing w:val="-4"/>
          <w:sz w:val="32"/>
          <w:szCs w:val="32"/>
        </w:rPr>
        <w:t>5年</w:t>
      </w:r>
      <w:r>
        <w:rPr>
          <w:rFonts w:hint="eastAsia" w:eastAsia="方正仿宋_GBK"/>
          <w:spacing w:val="-4"/>
          <w:sz w:val="32"/>
          <w:szCs w:val="32"/>
        </w:rPr>
        <w:t>度人</w:t>
      </w:r>
      <w:r>
        <w:rPr>
          <w:rFonts w:eastAsia="方正仿宋_GBK"/>
          <w:spacing w:val="-4"/>
          <w:sz w:val="32"/>
          <w:szCs w:val="32"/>
        </w:rPr>
        <w:t>员增加，</w:t>
      </w:r>
      <w:r>
        <w:rPr>
          <w:rFonts w:hint="eastAsia" w:eastAsia="方正仿宋_GBK"/>
          <w:spacing w:val="-4"/>
          <w:sz w:val="32"/>
          <w:szCs w:val="32"/>
        </w:rPr>
        <w:t>相</w:t>
      </w:r>
      <w:r>
        <w:rPr>
          <w:rFonts w:eastAsia="方正仿宋_GBK"/>
          <w:spacing w:val="-4"/>
          <w:sz w:val="32"/>
          <w:szCs w:val="32"/>
        </w:rPr>
        <w:t>应的机关</w:t>
      </w:r>
      <w:r>
        <w:rPr>
          <w:rFonts w:hint="eastAsia" w:eastAsia="方正仿宋_GBK"/>
          <w:spacing w:val="-4"/>
          <w:sz w:val="32"/>
          <w:szCs w:val="32"/>
        </w:rPr>
        <w:t>运</w:t>
      </w:r>
      <w:r>
        <w:rPr>
          <w:rFonts w:eastAsia="方正仿宋_GBK"/>
          <w:spacing w:val="-4"/>
          <w:sz w:val="32"/>
          <w:szCs w:val="32"/>
        </w:rPr>
        <w:t>行经费支出增加。</w:t>
      </w:r>
    </w:p>
    <w:p w14:paraId="09D6682D">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4" w:name="_Toc15377223"/>
      <w:r>
        <w:rPr>
          <w:rFonts w:ascii="方正楷体_GBK" w:hAnsi="方正楷体_GBK" w:eastAsia="方正楷体_GBK"/>
          <w:b/>
          <w:spacing w:val="-4"/>
          <w:sz w:val="32"/>
          <w:szCs w:val="32"/>
        </w:rPr>
        <w:t>（二）政府采购支出情况</w:t>
      </w:r>
      <w:bookmarkEnd w:id="64"/>
    </w:p>
    <w:p w14:paraId="625FC7DA">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2025年度，市科协政府采购支出总额5.15万元，其中</w:t>
      </w:r>
      <w:r>
        <w:rPr>
          <w:rFonts w:hint="eastAsia" w:eastAsia="方正仿宋_GBK"/>
          <w:spacing w:val="-4"/>
          <w:sz w:val="32"/>
          <w:szCs w:val="32"/>
        </w:rPr>
        <w:t>政府采购服务支出</w:t>
      </w:r>
      <w:r>
        <w:rPr>
          <w:rFonts w:eastAsia="方正仿宋_GBK"/>
          <w:spacing w:val="-4"/>
          <w:sz w:val="32"/>
          <w:szCs w:val="32"/>
        </w:rPr>
        <w:t>5.15</w:t>
      </w:r>
      <w:r>
        <w:rPr>
          <w:rFonts w:hint="eastAsia" w:eastAsia="方正仿宋_GBK"/>
          <w:spacing w:val="-4"/>
          <w:sz w:val="32"/>
          <w:szCs w:val="32"/>
        </w:rPr>
        <w:t>万元。主要用于购买车辆加油、维修和保养服务、财产保险服务。授予中小企业合同金额</w:t>
      </w:r>
      <w:r>
        <w:rPr>
          <w:rFonts w:eastAsia="方正仿宋_GBK"/>
          <w:spacing w:val="-4"/>
          <w:sz w:val="32"/>
          <w:szCs w:val="32"/>
        </w:rPr>
        <w:t>4.76</w:t>
      </w:r>
      <w:r>
        <w:rPr>
          <w:rFonts w:hint="eastAsia" w:eastAsia="方正仿宋_GBK"/>
          <w:spacing w:val="-4"/>
          <w:sz w:val="32"/>
          <w:szCs w:val="32"/>
        </w:rPr>
        <w:t>万元，占政府采购支出总额的</w:t>
      </w:r>
      <w:r>
        <w:rPr>
          <w:rFonts w:eastAsia="方正仿宋_GBK"/>
          <w:spacing w:val="-4"/>
          <w:sz w:val="32"/>
          <w:szCs w:val="32"/>
        </w:rPr>
        <w:t>92.43</w:t>
      </w:r>
      <w:r>
        <w:rPr>
          <w:rFonts w:hint="eastAsia" w:eastAsia="方正仿宋_GBK"/>
          <w:spacing w:val="-4"/>
          <w:sz w:val="32"/>
          <w:szCs w:val="32"/>
        </w:rPr>
        <w:t>%，其中：授予小微企业合同金额</w:t>
      </w:r>
      <w:r>
        <w:rPr>
          <w:rFonts w:eastAsia="方正仿宋_GBK"/>
          <w:spacing w:val="-4"/>
          <w:sz w:val="32"/>
          <w:szCs w:val="32"/>
        </w:rPr>
        <w:t>3.95</w:t>
      </w:r>
      <w:r>
        <w:rPr>
          <w:rFonts w:hint="eastAsia" w:eastAsia="方正仿宋_GBK"/>
          <w:spacing w:val="-4"/>
          <w:sz w:val="32"/>
          <w:szCs w:val="32"/>
        </w:rPr>
        <w:t>万元，占政府采购支出总额的</w:t>
      </w:r>
      <w:r>
        <w:rPr>
          <w:rFonts w:eastAsia="方正仿宋_GBK"/>
          <w:spacing w:val="-4"/>
          <w:sz w:val="32"/>
          <w:szCs w:val="32"/>
        </w:rPr>
        <w:t>76.7</w:t>
      </w:r>
      <w:r>
        <w:rPr>
          <w:rFonts w:hint="eastAsia" w:eastAsia="方正仿宋_GBK"/>
          <w:spacing w:val="-4"/>
          <w:sz w:val="32"/>
          <w:szCs w:val="32"/>
        </w:rPr>
        <w:t>%。</w:t>
      </w:r>
    </w:p>
    <w:p w14:paraId="494CADAC">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5" w:name="_Toc15377224"/>
      <w:r>
        <w:rPr>
          <w:rFonts w:ascii="方正楷体_GBK" w:hAnsi="方正楷体_GBK" w:eastAsia="方正楷体_GBK"/>
          <w:b/>
          <w:spacing w:val="-4"/>
          <w:sz w:val="32"/>
          <w:szCs w:val="32"/>
        </w:rPr>
        <w:t>（三）国有资产占有使用情况</w:t>
      </w:r>
      <w:bookmarkEnd w:id="65"/>
    </w:p>
    <w:p w14:paraId="535725F8">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截至2025年12月31日，共有车辆3辆，其中：一般公务用车2辆，特种专业技术用车1辆（科普大篷车），主要用于科技馆科普大篷车七进活动科普宣传</w:t>
      </w:r>
      <w:r>
        <w:rPr>
          <w:rFonts w:hint="eastAsia" w:eastAsia="方正仿宋_GBK"/>
          <w:spacing w:val="-4"/>
          <w:sz w:val="32"/>
          <w:szCs w:val="32"/>
        </w:rPr>
        <w:t>。</w:t>
      </w:r>
      <w:r>
        <w:rPr>
          <w:rFonts w:eastAsia="方正仿宋_GBK"/>
          <w:spacing w:val="-4"/>
          <w:sz w:val="32"/>
          <w:szCs w:val="32"/>
        </w:rPr>
        <w:t>单价100万元以上设备（不含车辆）0台（套）。</w:t>
      </w:r>
    </w:p>
    <w:p w14:paraId="3DDFAAC1">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r>
        <w:rPr>
          <w:rFonts w:ascii="方正楷体_GBK" w:hAnsi="方正楷体_GBK" w:eastAsia="方正楷体_GBK"/>
          <w:b/>
          <w:spacing w:val="-4"/>
          <w:sz w:val="32"/>
          <w:szCs w:val="32"/>
        </w:rPr>
        <w:t>（四）预算绩效管理情况</w:t>
      </w:r>
    </w:p>
    <w:p w14:paraId="149378D4">
      <w:pPr>
        <w:widowControl/>
        <w:spacing w:line="560" w:lineRule="exact"/>
        <w:ind w:firstLine="624" w:firstLineChars="200"/>
        <w:jc w:val="left"/>
        <w:rPr>
          <w:rFonts w:eastAsia="方正仿宋_GBK"/>
          <w:spacing w:val="-4"/>
          <w:sz w:val="32"/>
          <w:szCs w:val="32"/>
        </w:rPr>
      </w:pPr>
      <w:r>
        <w:rPr>
          <w:rFonts w:hint="eastAsia" w:eastAsia="方正仿宋_GBK"/>
          <w:spacing w:val="-4"/>
          <w:sz w:val="32"/>
          <w:szCs w:val="32"/>
        </w:rPr>
        <w:t>根据预算绩效管理要求，本单位在2025年度预算编制阶段，组织对全民科学素质提升行动、科技人才服务及“科技工作者”之家建设、天府科技云服务中心运维及供需对接服务等17个项目开展了预算事前绩效评估，对17个项目编制了绩效目标，</w:t>
      </w:r>
      <w:r>
        <w:rPr>
          <w:rFonts w:eastAsia="方正仿宋_GBK"/>
          <w:spacing w:val="-4"/>
          <w:sz w:val="32"/>
          <w:szCs w:val="32"/>
        </w:rPr>
        <w:t>预算执行过程中，</w:t>
      </w:r>
      <w:r>
        <w:rPr>
          <w:rFonts w:hint="eastAsia" w:eastAsia="方正仿宋_GBK"/>
          <w:spacing w:val="-4"/>
          <w:sz w:val="32"/>
          <w:szCs w:val="32"/>
        </w:rPr>
        <w:t>全覆盖</w:t>
      </w:r>
      <w:r>
        <w:rPr>
          <w:rFonts w:eastAsia="方正仿宋_GBK"/>
          <w:spacing w:val="-4"/>
          <w:sz w:val="32"/>
          <w:szCs w:val="32"/>
        </w:rPr>
        <w:t>开展绩效监控</w:t>
      </w:r>
      <w:r>
        <w:rPr>
          <w:rFonts w:hint="eastAsia" w:eastAsia="方正仿宋_GBK"/>
          <w:spacing w:val="-4"/>
          <w:sz w:val="32"/>
          <w:szCs w:val="32"/>
        </w:rPr>
        <w:t>。绩效自评表详见第四部分附件</w:t>
      </w:r>
      <w:r>
        <w:rPr>
          <w:rFonts w:eastAsia="方正仿宋_GBK"/>
          <w:spacing w:val="-4"/>
          <w:sz w:val="32"/>
          <w:szCs w:val="32"/>
        </w:rPr>
        <w:t>。</w:t>
      </w:r>
    </w:p>
    <w:p w14:paraId="35E20A66">
      <w:pPr>
        <w:widowControl/>
        <w:spacing w:line="560" w:lineRule="exact"/>
        <w:ind w:firstLine="627" w:firstLineChars="200"/>
        <w:jc w:val="left"/>
        <w:rPr>
          <w:rFonts w:eastAsia="仿宋_GB2312"/>
          <w:b/>
          <w:spacing w:val="-4"/>
          <w:sz w:val="32"/>
          <w:szCs w:val="32"/>
        </w:rPr>
      </w:pPr>
      <w:r>
        <w:rPr>
          <w:rFonts w:eastAsia="仿宋_GB2312"/>
          <w:b/>
          <w:spacing w:val="-4"/>
          <w:sz w:val="32"/>
          <w:szCs w:val="32"/>
        </w:rPr>
        <w:br w:type="page"/>
      </w:r>
    </w:p>
    <w:p w14:paraId="3D7445E1">
      <w:pPr>
        <w:numPr>
          <w:ilvl w:val="0"/>
          <w:numId w:val="1"/>
        </w:numPr>
        <w:spacing w:line="560" w:lineRule="exact"/>
        <w:ind w:firstLine="648" w:firstLineChars="150"/>
        <w:jc w:val="center"/>
        <w:outlineLvl w:val="0"/>
        <w:rPr>
          <w:rStyle w:val="29"/>
          <w:rFonts w:eastAsia="黑体"/>
          <w:b w:val="0"/>
          <w:spacing w:val="-4"/>
        </w:rPr>
      </w:pPr>
      <w:bookmarkStart w:id="66" w:name="_Toc15377225"/>
      <w:bookmarkStart w:id="67" w:name="_Toc30977"/>
      <w:bookmarkStart w:id="68" w:name="_Toc15396613"/>
      <w:r>
        <w:rPr>
          <w:rFonts w:eastAsia="黑体"/>
          <w:spacing w:val="-4"/>
          <w:sz w:val="44"/>
          <w:szCs w:val="44"/>
        </w:rPr>
        <w:t>名</w:t>
      </w:r>
      <w:r>
        <w:rPr>
          <w:rStyle w:val="29"/>
          <w:rFonts w:eastAsia="黑体"/>
          <w:b w:val="0"/>
          <w:spacing w:val="-4"/>
        </w:rPr>
        <w:t>词解释</w:t>
      </w:r>
      <w:bookmarkEnd w:id="66"/>
      <w:bookmarkEnd w:id="67"/>
      <w:bookmarkEnd w:id="68"/>
    </w:p>
    <w:p w14:paraId="3235CED5">
      <w:pPr>
        <w:spacing w:line="560" w:lineRule="exact"/>
        <w:jc w:val="left"/>
        <w:rPr>
          <w:b/>
          <w:spacing w:val="-4"/>
          <w:sz w:val="32"/>
          <w:szCs w:val="32"/>
        </w:rPr>
      </w:pPr>
    </w:p>
    <w:p w14:paraId="4B1D846F">
      <w:pPr>
        <w:pStyle w:val="27"/>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1.财政拨款收入：指单位从同级财政单位取得的财政预算资金。</w:t>
      </w:r>
    </w:p>
    <w:p w14:paraId="432A0A59">
      <w:pPr>
        <w:pStyle w:val="27"/>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2.年初结转和结余：指以前年度尚未完成、结转到本年按有关规定继续使用的资金。</w:t>
      </w:r>
    </w:p>
    <w:p w14:paraId="23F90BC5">
      <w:pPr>
        <w:spacing w:line="560" w:lineRule="exact"/>
        <w:ind w:firstLine="624" w:firstLineChars="200"/>
        <w:rPr>
          <w:rFonts w:eastAsia="方正仿宋_GBK"/>
          <w:spacing w:val="-4"/>
          <w:sz w:val="32"/>
          <w:szCs w:val="32"/>
        </w:rPr>
      </w:pPr>
      <w:r>
        <w:rPr>
          <w:rFonts w:eastAsia="方正仿宋_GBK"/>
          <w:spacing w:val="-4"/>
          <w:sz w:val="32"/>
          <w:szCs w:val="32"/>
        </w:rPr>
        <w:t>3.科学技术支出（206类）科学技术管理事务（01款）行政运行（01项）,指行政单位（包括实行公务员管理的事业单位）的基本支出。</w:t>
      </w:r>
    </w:p>
    <w:p w14:paraId="19640E8A">
      <w:pPr>
        <w:pStyle w:val="2"/>
        <w:spacing w:beforeLines="0" w:line="560" w:lineRule="exact"/>
        <w:ind w:firstLine="624" w:firstLineChars="200"/>
        <w:rPr>
          <w:rFonts w:ascii="Times New Roman" w:eastAsia="方正仿宋_GBK"/>
          <w:spacing w:val="-4"/>
          <w:sz w:val="32"/>
          <w:szCs w:val="32"/>
        </w:rPr>
      </w:pPr>
      <w:r>
        <w:rPr>
          <w:rFonts w:ascii="Times New Roman" w:eastAsia="方正仿宋_GBK"/>
          <w:spacing w:val="-4"/>
          <w:sz w:val="32"/>
          <w:szCs w:val="32"/>
        </w:rPr>
        <w:t>4.科学技术（206类）科学技术管理事务（01款）其他科学技术管理事务支出（99项），指除该类别下其他用于科学技术管理事务方面的支出。</w:t>
      </w:r>
    </w:p>
    <w:p w14:paraId="6A584982">
      <w:pPr>
        <w:spacing w:line="560" w:lineRule="exact"/>
        <w:ind w:firstLine="624" w:firstLineChars="200"/>
        <w:rPr>
          <w:rFonts w:eastAsia="方正仿宋_GBK"/>
          <w:spacing w:val="-4"/>
          <w:sz w:val="32"/>
          <w:szCs w:val="32"/>
        </w:rPr>
      </w:pPr>
      <w:r>
        <w:rPr>
          <w:rFonts w:eastAsia="方正仿宋_GBK"/>
          <w:spacing w:val="-4"/>
          <w:sz w:val="32"/>
          <w:szCs w:val="32"/>
        </w:rPr>
        <w:t>5.科学技术支出（206类）科学技术普及（07款）机构运行（01项），指科普事业单位的基本支出。</w:t>
      </w:r>
    </w:p>
    <w:p w14:paraId="4F6F81B8">
      <w:pPr>
        <w:spacing w:line="560" w:lineRule="exact"/>
        <w:ind w:firstLine="624" w:firstLineChars="200"/>
        <w:rPr>
          <w:rFonts w:eastAsia="方正仿宋_GBK"/>
          <w:spacing w:val="-4"/>
          <w:sz w:val="32"/>
          <w:szCs w:val="32"/>
        </w:rPr>
      </w:pPr>
      <w:r>
        <w:rPr>
          <w:rFonts w:eastAsia="方正仿宋_GBK"/>
          <w:spacing w:val="-4"/>
          <w:sz w:val="32"/>
          <w:szCs w:val="32"/>
        </w:rPr>
        <w:t>6.科学技术支出（206类）科学技术普及（07款）其他科学技术普及支出（99项），指除该类别下其他用于科学技术普及方面的支出。</w:t>
      </w:r>
    </w:p>
    <w:p w14:paraId="3623E430">
      <w:pPr>
        <w:spacing w:line="560" w:lineRule="exact"/>
        <w:ind w:firstLine="624" w:firstLineChars="200"/>
        <w:rPr>
          <w:rFonts w:eastAsia="方正仿宋_GBK"/>
          <w:spacing w:val="-4"/>
          <w:sz w:val="32"/>
          <w:szCs w:val="32"/>
        </w:rPr>
      </w:pPr>
      <w:r>
        <w:rPr>
          <w:rFonts w:eastAsia="方正仿宋_GBK"/>
          <w:spacing w:val="-4"/>
          <w:sz w:val="32"/>
          <w:szCs w:val="32"/>
        </w:rPr>
        <w:t>7.社会保障和就业支出（208类）行政事业单位离退休（05款）归口管理的行政单位离退休（01项），指实行归口管理的行政单位（包括实行公务员管理的事业单位）开支的离退休支出。</w:t>
      </w:r>
    </w:p>
    <w:p w14:paraId="498576F2">
      <w:pPr>
        <w:spacing w:line="560" w:lineRule="exact"/>
        <w:ind w:firstLine="624" w:firstLineChars="200"/>
        <w:rPr>
          <w:rFonts w:eastAsia="方正仿宋_GBK"/>
          <w:spacing w:val="-4"/>
          <w:sz w:val="32"/>
          <w:szCs w:val="32"/>
        </w:rPr>
      </w:pPr>
      <w:r>
        <w:rPr>
          <w:rFonts w:eastAsia="方正仿宋_GBK"/>
          <w:spacing w:val="-4"/>
          <w:sz w:val="32"/>
          <w:szCs w:val="32"/>
        </w:rPr>
        <w:t>8.社会保障和就业支出（208类）行政事业单位离退休（05款）机关事业单位基本养老保险缴费支出（05项），指机关事业单位实施养老保险制度由单位缴纳的基本养老保险费支出。</w:t>
      </w:r>
    </w:p>
    <w:p w14:paraId="09FE53F0">
      <w:pPr>
        <w:spacing w:line="560" w:lineRule="exact"/>
        <w:ind w:firstLine="624" w:firstLineChars="200"/>
        <w:rPr>
          <w:rFonts w:eastAsia="方正仿宋_GBK"/>
          <w:spacing w:val="-4"/>
          <w:sz w:val="32"/>
          <w:szCs w:val="32"/>
        </w:rPr>
      </w:pPr>
      <w:r>
        <w:rPr>
          <w:rFonts w:eastAsia="方正仿宋_GBK"/>
          <w:spacing w:val="-4"/>
          <w:sz w:val="32"/>
          <w:szCs w:val="32"/>
        </w:rPr>
        <w:t>9.社会保障和就业支出（208类）社会福利（10款）儿童福利（01项），指对儿童提供福利服务方面的支出。</w:t>
      </w:r>
      <w:r>
        <w:rPr>
          <w:rFonts w:eastAsia="方正仿宋_GBK"/>
          <w:spacing w:val="-4"/>
          <w:sz w:val="32"/>
          <w:szCs w:val="32"/>
        </w:rPr>
        <w:br w:type="textWrapping"/>
      </w:r>
      <w:r>
        <w:rPr>
          <w:rFonts w:eastAsia="方正仿宋_GBK"/>
          <w:spacing w:val="-4"/>
          <w:sz w:val="32"/>
          <w:szCs w:val="32"/>
        </w:rPr>
        <w:t xml:space="preserve">    10.住房保障支出（221类）住房改革支出（02款）住房公积金（01项），指行政事业单位按人力资源和社会保障部、财政部规定的基本工资和津贴补贴以及规定比例为职工缴纳的住房公积金。</w:t>
      </w:r>
    </w:p>
    <w:p w14:paraId="51066AD7">
      <w:pPr>
        <w:spacing w:line="560" w:lineRule="exact"/>
        <w:ind w:firstLine="624" w:firstLineChars="200"/>
        <w:rPr>
          <w:rFonts w:eastAsia="方正仿宋_GBK"/>
          <w:spacing w:val="-4"/>
          <w:sz w:val="32"/>
          <w:szCs w:val="32"/>
        </w:rPr>
      </w:pPr>
      <w:r>
        <w:rPr>
          <w:rFonts w:eastAsia="方正仿宋_GBK"/>
          <w:spacing w:val="-4"/>
          <w:sz w:val="32"/>
          <w:szCs w:val="32"/>
        </w:rPr>
        <w:t>11.基本支出：指为保障机构正常运转、完成日常工作任务而发生的人员支出和公用支出。</w:t>
      </w:r>
    </w:p>
    <w:p w14:paraId="620B5CB4">
      <w:pPr>
        <w:spacing w:line="560" w:lineRule="exact"/>
        <w:ind w:firstLine="624" w:firstLineChars="200"/>
        <w:rPr>
          <w:rFonts w:eastAsia="方正仿宋_GBK"/>
          <w:spacing w:val="-4"/>
          <w:sz w:val="32"/>
          <w:szCs w:val="32"/>
        </w:rPr>
      </w:pPr>
      <w:r>
        <w:rPr>
          <w:rFonts w:eastAsia="方正仿宋_GBK"/>
          <w:spacing w:val="-4"/>
          <w:sz w:val="32"/>
          <w:szCs w:val="32"/>
        </w:rPr>
        <w:t>12.项目支出：指在基本支出之外为完成特定行政任务和事业发展目标所发生的支出。</w:t>
      </w:r>
    </w:p>
    <w:p w14:paraId="0DCC17B7">
      <w:pPr>
        <w:pStyle w:val="27"/>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13.“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792EBA">
      <w:pPr>
        <w:pStyle w:val="27"/>
        <w:spacing w:line="560" w:lineRule="exact"/>
        <w:ind w:firstLine="468" w:firstLineChars="150"/>
        <w:rPr>
          <w:rFonts w:ascii="Times New Roman" w:hAnsi="Times New Roman" w:eastAsia="方正仿宋_GBK" w:cs="Times New Roman"/>
          <w:color w:val="auto"/>
          <w:spacing w:val="-4"/>
          <w:sz w:val="32"/>
          <w:szCs w:val="32"/>
        </w:rPr>
      </w:pPr>
      <w:r>
        <w:rPr>
          <w:rFonts w:ascii="Times New Roman" w:hAnsi="Times New Roman" w:eastAsia="方正仿宋_GBK" w:cs="Times New Roman"/>
          <w:spacing w:val="-4"/>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BD57ED3">
      <w:pPr>
        <w:spacing w:line="560" w:lineRule="exact"/>
        <w:jc w:val="center"/>
        <w:outlineLvl w:val="0"/>
        <w:rPr>
          <w:rStyle w:val="29"/>
          <w:rFonts w:eastAsia="方正小标宋_GBK"/>
          <w:b w:val="0"/>
          <w:spacing w:val="-4"/>
        </w:rPr>
      </w:pPr>
      <w:bookmarkStart w:id="69" w:name="_Toc15377226"/>
      <w:r>
        <w:rPr>
          <w:b/>
          <w:spacing w:val="-4"/>
          <w:sz w:val="32"/>
          <w:szCs w:val="32"/>
        </w:rPr>
        <w:br w:type="page"/>
      </w:r>
      <w:bookmarkStart w:id="70" w:name="_Toc16533"/>
      <w:bookmarkStart w:id="71" w:name="_Toc15396614"/>
      <w:r>
        <w:rPr>
          <w:rFonts w:eastAsia="方正小标宋_GBK"/>
          <w:spacing w:val="-4"/>
          <w:sz w:val="44"/>
          <w:szCs w:val="44"/>
        </w:rPr>
        <w:t>第</w:t>
      </w:r>
      <w:r>
        <w:rPr>
          <w:rStyle w:val="29"/>
          <w:rFonts w:eastAsia="方正小标宋_GBK"/>
          <w:b w:val="0"/>
          <w:spacing w:val="-4"/>
        </w:rPr>
        <w:t>四部分  附件</w:t>
      </w:r>
      <w:bookmarkEnd w:id="70"/>
      <w:bookmarkEnd w:id="71"/>
    </w:p>
    <w:p w14:paraId="6ECFDCE6">
      <w:pPr>
        <w:widowControl/>
        <w:spacing w:line="560" w:lineRule="exact"/>
        <w:contextualSpacing/>
        <w:jc w:val="center"/>
        <w:rPr>
          <w:rFonts w:eastAsia="方正小标宋_GBK"/>
          <w:spacing w:val="-4"/>
          <w:sz w:val="33"/>
          <w:szCs w:val="33"/>
          <w:shd w:val="clear" w:color="auto" w:fill="FFFFFF"/>
        </w:rPr>
      </w:pPr>
    </w:p>
    <w:p w14:paraId="44C3B15D">
      <w:pPr>
        <w:widowControl/>
        <w:spacing w:line="560" w:lineRule="exact"/>
        <w:ind w:firstLine="624" w:firstLineChars="200"/>
        <w:contextualSpacing/>
        <w:rPr>
          <w:rFonts w:eastAsia="方正仿宋_GBK"/>
          <w:color w:val="000000"/>
          <w:spacing w:val="-4"/>
          <w:sz w:val="32"/>
          <w:szCs w:val="32"/>
        </w:rPr>
      </w:pPr>
      <w:r>
        <w:rPr>
          <w:rFonts w:hint="eastAsia" w:eastAsia="方正仿宋_GBK"/>
          <w:color w:val="000000"/>
          <w:spacing w:val="-4"/>
          <w:sz w:val="32"/>
          <w:szCs w:val="32"/>
        </w:rPr>
        <w:t>单位预算项目支出绩效自评表（2025年度）</w:t>
      </w:r>
    </w:p>
    <w:p w14:paraId="08AF64F5">
      <w:pPr>
        <w:widowControl/>
        <w:spacing w:line="560" w:lineRule="exact"/>
        <w:jc w:val="left"/>
        <w:rPr>
          <w:rStyle w:val="29"/>
          <w:rFonts w:eastAsia="黑体"/>
          <w:b w:val="0"/>
          <w:spacing w:val="-4"/>
          <w:sz w:val="32"/>
          <w:szCs w:val="32"/>
        </w:rPr>
      </w:pPr>
      <w:r>
        <w:rPr>
          <w:rStyle w:val="29"/>
          <w:rFonts w:eastAsia="黑体"/>
          <w:b w:val="0"/>
          <w:spacing w:val="-4"/>
          <w:sz w:val="32"/>
          <w:szCs w:val="32"/>
        </w:rPr>
        <w:br w:type="page"/>
      </w:r>
    </w:p>
    <w:p w14:paraId="7CF437EB">
      <w:pPr>
        <w:spacing w:line="560" w:lineRule="exact"/>
        <w:jc w:val="center"/>
        <w:outlineLvl w:val="0"/>
        <w:rPr>
          <w:rFonts w:eastAsia="仿宋"/>
          <w:spacing w:val="-4"/>
          <w:sz w:val="44"/>
          <w:szCs w:val="44"/>
        </w:rPr>
      </w:pPr>
      <w:bookmarkStart w:id="72" w:name="_Toc15396618"/>
      <w:bookmarkStart w:id="73" w:name="_Toc12195"/>
      <w:r>
        <w:rPr>
          <w:rFonts w:eastAsia="黑体"/>
          <w:spacing w:val="-4"/>
          <w:sz w:val="44"/>
          <w:szCs w:val="44"/>
        </w:rPr>
        <w:t>第</w:t>
      </w:r>
      <w:r>
        <w:rPr>
          <w:rStyle w:val="29"/>
          <w:rFonts w:eastAsia="黑体"/>
          <w:b w:val="0"/>
          <w:spacing w:val="-4"/>
        </w:rPr>
        <w:t>五部分 附表</w:t>
      </w:r>
      <w:bookmarkEnd w:id="69"/>
      <w:bookmarkEnd w:id="72"/>
      <w:bookmarkEnd w:id="73"/>
      <w:bookmarkStart w:id="74" w:name="_Toc15396619"/>
    </w:p>
    <w:p w14:paraId="5BB9B727">
      <w:pPr>
        <w:pStyle w:val="4"/>
        <w:spacing w:line="560" w:lineRule="exact"/>
        <w:rPr>
          <w:rFonts w:ascii="Times New Roman" w:hAnsi="Times New Roman" w:eastAsia="方正仿宋_GBK" w:cs="Times New Roman"/>
          <w:spacing w:val="-4"/>
        </w:rPr>
      </w:pPr>
      <w:bookmarkStart w:id="75" w:name="_Toc9930"/>
      <w:r>
        <w:rPr>
          <w:rFonts w:ascii="Times New Roman" w:hAnsi="Times New Roman" w:eastAsia="方正仿宋_GBK" w:cs="Times New Roman"/>
          <w:b w:val="0"/>
          <w:spacing w:val="-4"/>
        </w:rPr>
        <w:t>一、收</w:t>
      </w:r>
      <w:r>
        <w:rPr>
          <w:rStyle w:val="30"/>
          <w:rFonts w:ascii="Times New Roman" w:hAnsi="Times New Roman" w:eastAsia="方正仿宋_GBK" w:cs="Times New Roman"/>
          <w:b w:val="0"/>
          <w:bCs w:val="0"/>
          <w:spacing w:val="-4"/>
        </w:rPr>
        <w:t>入支出决算总表</w:t>
      </w:r>
      <w:bookmarkEnd w:id="74"/>
      <w:bookmarkEnd w:id="75"/>
    </w:p>
    <w:p w14:paraId="214A54FD">
      <w:pPr>
        <w:pStyle w:val="4"/>
        <w:spacing w:line="560" w:lineRule="exact"/>
        <w:rPr>
          <w:rFonts w:ascii="Times New Roman" w:hAnsi="Times New Roman" w:eastAsia="方正仿宋_GBK" w:cs="Times New Roman"/>
          <w:spacing w:val="-4"/>
        </w:rPr>
      </w:pPr>
      <w:bookmarkStart w:id="76" w:name="_Toc29516"/>
      <w:bookmarkStart w:id="77" w:name="_Toc15396620"/>
      <w:r>
        <w:rPr>
          <w:rFonts w:ascii="Times New Roman" w:hAnsi="Times New Roman" w:eastAsia="方正仿宋_GBK" w:cs="Times New Roman"/>
          <w:b w:val="0"/>
          <w:spacing w:val="-4"/>
        </w:rPr>
        <w:t>二、收</w:t>
      </w:r>
      <w:r>
        <w:rPr>
          <w:rStyle w:val="30"/>
          <w:rFonts w:ascii="Times New Roman" w:hAnsi="Times New Roman" w:eastAsia="方正仿宋_GBK" w:cs="Times New Roman"/>
          <w:b w:val="0"/>
          <w:bCs w:val="0"/>
          <w:spacing w:val="-4"/>
        </w:rPr>
        <w:t>入决算表</w:t>
      </w:r>
      <w:bookmarkEnd w:id="76"/>
      <w:bookmarkEnd w:id="77"/>
    </w:p>
    <w:p w14:paraId="67B7F4FC">
      <w:pPr>
        <w:pStyle w:val="4"/>
        <w:spacing w:line="560" w:lineRule="exact"/>
        <w:rPr>
          <w:rFonts w:ascii="Times New Roman" w:hAnsi="Times New Roman" w:eastAsia="方正仿宋_GBK" w:cs="Times New Roman"/>
          <w:spacing w:val="-4"/>
        </w:rPr>
      </w:pPr>
      <w:bookmarkStart w:id="78" w:name="_Toc15122"/>
      <w:bookmarkStart w:id="79" w:name="_Toc15396621"/>
      <w:r>
        <w:rPr>
          <w:rStyle w:val="30"/>
          <w:rFonts w:ascii="Times New Roman" w:hAnsi="Times New Roman" w:eastAsia="方正仿宋_GBK" w:cs="Times New Roman"/>
          <w:b w:val="0"/>
          <w:bCs w:val="0"/>
          <w:spacing w:val="-4"/>
        </w:rPr>
        <w:t>三、</w:t>
      </w:r>
      <w:r>
        <w:rPr>
          <w:rFonts w:ascii="Times New Roman" w:hAnsi="Times New Roman" w:eastAsia="方正仿宋_GBK" w:cs="Times New Roman"/>
          <w:b w:val="0"/>
          <w:spacing w:val="-4"/>
        </w:rPr>
        <w:t>支</w:t>
      </w:r>
      <w:r>
        <w:rPr>
          <w:rStyle w:val="30"/>
          <w:rFonts w:ascii="Times New Roman" w:hAnsi="Times New Roman" w:eastAsia="方正仿宋_GBK" w:cs="Times New Roman"/>
          <w:b w:val="0"/>
          <w:bCs w:val="0"/>
          <w:spacing w:val="-4"/>
        </w:rPr>
        <w:t>出决算表</w:t>
      </w:r>
      <w:bookmarkEnd w:id="78"/>
      <w:bookmarkEnd w:id="79"/>
    </w:p>
    <w:p w14:paraId="0724526B">
      <w:pPr>
        <w:pStyle w:val="4"/>
        <w:spacing w:line="560" w:lineRule="exact"/>
        <w:rPr>
          <w:rFonts w:ascii="Times New Roman" w:hAnsi="Times New Roman" w:eastAsia="方正仿宋_GBK" w:cs="Times New Roman"/>
          <w:b w:val="0"/>
          <w:spacing w:val="-4"/>
        </w:rPr>
      </w:pPr>
      <w:bookmarkStart w:id="80" w:name="_Toc15396622"/>
      <w:bookmarkStart w:id="81" w:name="_Toc21072"/>
      <w:r>
        <w:rPr>
          <w:rStyle w:val="30"/>
          <w:rFonts w:ascii="Times New Roman" w:hAnsi="Times New Roman" w:eastAsia="方正仿宋_GBK" w:cs="Times New Roman"/>
          <w:b w:val="0"/>
          <w:bCs w:val="0"/>
          <w:spacing w:val="-4"/>
        </w:rPr>
        <w:t>四、</w:t>
      </w:r>
      <w:r>
        <w:rPr>
          <w:rFonts w:ascii="Times New Roman" w:hAnsi="Times New Roman" w:eastAsia="方正仿宋_GBK" w:cs="Times New Roman"/>
          <w:b w:val="0"/>
          <w:spacing w:val="-4"/>
        </w:rPr>
        <w:t>财</w:t>
      </w:r>
      <w:r>
        <w:rPr>
          <w:rStyle w:val="30"/>
          <w:rFonts w:ascii="Times New Roman" w:hAnsi="Times New Roman" w:eastAsia="方正仿宋_GBK" w:cs="Times New Roman"/>
          <w:b w:val="0"/>
          <w:bCs w:val="0"/>
          <w:spacing w:val="-4"/>
        </w:rPr>
        <w:t>政拨款收入支出决算总表</w:t>
      </w:r>
      <w:bookmarkEnd w:id="80"/>
      <w:bookmarkEnd w:id="81"/>
    </w:p>
    <w:p w14:paraId="4121C001">
      <w:pPr>
        <w:pStyle w:val="4"/>
        <w:spacing w:line="560" w:lineRule="exact"/>
        <w:rPr>
          <w:rStyle w:val="30"/>
          <w:rFonts w:ascii="Times New Roman" w:hAnsi="Times New Roman" w:eastAsia="方正仿宋_GBK" w:cs="Times New Roman"/>
          <w:b w:val="0"/>
          <w:bCs w:val="0"/>
          <w:spacing w:val="-4"/>
        </w:rPr>
      </w:pPr>
      <w:bookmarkStart w:id="82" w:name="_Toc7574"/>
      <w:bookmarkStart w:id="83" w:name="_Toc15396623"/>
      <w:r>
        <w:rPr>
          <w:rStyle w:val="30"/>
          <w:rFonts w:ascii="Times New Roman" w:hAnsi="Times New Roman" w:eastAsia="方正仿宋_GBK" w:cs="Times New Roman"/>
          <w:b w:val="0"/>
          <w:bCs w:val="0"/>
          <w:spacing w:val="-4"/>
        </w:rPr>
        <w:t>五、</w:t>
      </w:r>
      <w:r>
        <w:rPr>
          <w:rFonts w:ascii="Times New Roman" w:hAnsi="Times New Roman" w:eastAsia="方正仿宋_GBK" w:cs="Times New Roman"/>
          <w:b w:val="0"/>
          <w:spacing w:val="-4"/>
        </w:rPr>
        <w:t>财</w:t>
      </w:r>
      <w:r>
        <w:rPr>
          <w:rStyle w:val="30"/>
          <w:rFonts w:ascii="Times New Roman" w:hAnsi="Times New Roman" w:eastAsia="方正仿宋_GBK" w:cs="Times New Roman"/>
          <w:b w:val="0"/>
          <w:bCs w:val="0"/>
          <w:spacing w:val="-4"/>
        </w:rPr>
        <w:t>政拨款支出决算明细表</w:t>
      </w:r>
      <w:bookmarkEnd w:id="82"/>
      <w:bookmarkEnd w:id="83"/>
      <w:bookmarkStart w:id="84" w:name="_Toc15396624"/>
    </w:p>
    <w:p w14:paraId="276D9265">
      <w:pPr>
        <w:pStyle w:val="4"/>
        <w:spacing w:line="560" w:lineRule="exact"/>
        <w:rPr>
          <w:rFonts w:ascii="Times New Roman" w:hAnsi="Times New Roman" w:eastAsia="方正仿宋_GBK" w:cs="Times New Roman"/>
          <w:spacing w:val="-4"/>
        </w:rPr>
      </w:pPr>
      <w:bookmarkStart w:id="85" w:name="_Toc12974"/>
      <w:r>
        <w:rPr>
          <w:rStyle w:val="30"/>
          <w:rFonts w:ascii="Times New Roman" w:hAnsi="Times New Roman" w:eastAsia="方正仿宋_GBK" w:cs="Times New Roman"/>
          <w:b w:val="0"/>
          <w:bCs w:val="0"/>
          <w:spacing w:val="-4"/>
        </w:rPr>
        <w:t>六、</w:t>
      </w:r>
      <w:r>
        <w:rPr>
          <w:rFonts w:ascii="Times New Roman" w:hAnsi="Times New Roman" w:eastAsia="方正仿宋_GBK" w:cs="Times New Roman"/>
          <w:b w:val="0"/>
          <w:spacing w:val="-4"/>
        </w:rPr>
        <w:t>一</w:t>
      </w:r>
      <w:r>
        <w:rPr>
          <w:rStyle w:val="30"/>
          <w:rFonts w:ascii="Times New Roman" w:hAnsi="Times New Roman" w:eastAsia="方正仿宋_GBK" w:cs="Times New Roman"/>
          <w:b w:val="0"/>
          <w:bCs w:val="0"/>
          <w:spacing w:val="-4"/>
        </w:rPr>
        <w:t>般公共预算财政拨款支出决算表</w:t>
      </w:r>
      <w:bookmarkEnd w:id="84"/>
      <w:bookmarkEnd w:id="85"/>
    </w:p>
    <w:p w14:paraId="091CE8A3">
      <w:pPr>
        <w:pStyle w:val="4"/>
        <w:spacing w:line="560" w:lineRule="exact"/>
        <w:rPr>
          <w:rFonts w:ascii="Times New Roman" w:hAnsi="Times New Roman" w:eastAsia="方正仿宋_GBK" w:cs="Times New Roman"/>
          <w:spacing w:val="-4"/>
        </w:rPr>
      </w:pPr>
      <w:bookmarkStart w:id="86" w:name="_Toc20694"/>
      <w:bookmarkStart w:id="87" w:name="_Toc15396625"/>
      <w:r>
        <w:rPr>
          <w:rStyle w:val="30"/>
          <w:rFonts w:ascii="Times New Roman" w:hAnsi="Times New Roman" w:eastAsia="方正仿宋_GBK" w:cs="Times New Roman"/>
          <w:b w:val="0"/>
          <w:bCs w:val="0"/>
          <w:spacing w:val="-4"/>
        </w:rPr>
        <w:t>七、</w:t>
      </w:r>
      <w:r>
        <w:rPr>
          <w:rFonts w:ascii="Times New Roman" w:hAnsi="Times New Roman" w:eastAsia="方正仿宋_GBK" w:cs="Times New Roman"/>
          <w:b w:val="0"/>
          <w:spacing w:val="-4"/>
        </w:rPr>
        <w:t>一</w:t>
      </w:r>
      <w:r>
        <w:rPr>
          <w:rStyle w:val="30"/>
          <w:rFonts w:ascii="Times New Roman" w:hAnsi="Times New Roman" w:eastAsia="方正仿宋_GBK" w:cs="Times New Roman"/>
          <w:b w:val="0"/>
          <w:bCs w:val="0"/>
          <w:spacing w:val="-4"/>
        </w:rPr>
        <w:t>般公共预算财政拨款支出决算明细表</w:t>
      </w:r>
      <w:bookmarkEnd w:id="86"/>
      <w:bookmarkEnd w:id="87"/>
    </w:p>
    <w:p w14:paraId="594638B0">
      <w:pPr>
        <w:pStyle w:val="4"/>
        <w:spacing w:line="560" w:lineRule="exact"/>
        <w:rPr>
          <w:rFonts w:ascii="Times New Roman" w:hAnsi="Times New Roman" w:eastAsia="方正仿宋_GBK" w:cs="Times New Roman"/>
          <w:spacing w:val="-4"/>
        </w:rPr>
      </w:pPr>
      <w:bookmarkStart w:id="88" w:name="_Toc15396626"/>
      <w:bookmarkStart w:id="89" w:name="_Toc22400"/>
      <w:r>
        <w:rPr>
          <w:rStyle w:val="30"/>
          <w:rFonts w:ascii="Times New Roman" w:hAnsi="Times New Roman" w:eastAsia="方正仿宋_GBK" w:cs="Times New Roman"/>
          <w:b w:val="0"/>
          <w:bCs w:val="0"/>
          <w:spacing w:val="-4"/>
        </w:rPr>
        <w:t>八、</w:t>
      </w:r>
      <w:r>
        <w:rPr>
          <w:rFonts w:ascii="Times New Roman" w:hAnsi="Times New Roman" w:eastAsia="方正仿宋_GBK" w:cs="Times New Roman"/>
          <w:b w:val="0"/>
          <w:spacing w:val="-4"/>
        </w:rPr>
        <w:t>一</w:t>
      </w:r>
      <w:r>
        <w:rPr>
          <w:rStyle w:val="30"/>
          <w:rFonts w:ascii="Times New Roman" w:hAnsi="Times New Roman" w:eastAsia="方正仿宋_GBK" w:cs="Times New Roman"/>
          <w:b w:val="0"/>
          <w:bCs w:val="0"/>
          <w:spacing w:val="-4"/>
        </w:rPr>
        <w:t>般公共预算财政拨款基本支出决算表</w:t>
      </w:r>
      <w:bookmarkEnd w:id="88"/>
      <w:bookmarkEnd w:id="89"/>
    </w:p>
    <w:p w14:paraId="6F15A658">
      <w:pPr>
        <w:pStyle w:val="4"/>
        <w:spacing w:line="560" w:lineRule="exact"/>
        <w:rPr>
          <w:rFonts w:ascii="Times New Roman" w:hAnsi="Times New Roman" w:eastAsia="方正仿宋_GBK" w:cs="Times New Roman"/>
          <w:spacing w:val="-4"/>
        </w:rPr>
      </w:pPr>
      <w:bookmarkStart w:id="90" w:name="_Toc15396627"/>
      <w:bookmarkStart w:id="91" w:name="_Toc29646"/>
      <w:r>
        <w:rPr>
          <w:rStyle w:val="30"/>
          <w:rFonts w:ascii="Times New Roman" w:hAnsi="Times New Roman" w:eastAsia="方正仿宋_GBK" w:cs="Times New Roman"/>
          <w:b w:val="0"/>
          <w:bCs w:val="0"/>
          <w:spacing w:val="-4"/>
        </w:rPr>
        <w:t>九、</w:t>
      </w:r>
      <w:r>
        <w:rPr>
          <w:rFonts w:ascii="Times New Roman" w:hAnsi="Times New Roman" w:eastAsia="方正仿宋_GBK" w:cs="Times New Roman"/>
          <w:b w:val="0"/>
          <w:spacing w:val="-4"/>
        </w:rPr>
        <w:t>一</w:t>
      </w:r>
      <w:r>
        <w:rPr>
          <w:rStyle w:val="30"/>
          <w:rFonts w:ascii="Times New Roman" w:hAnsi="Times New Roman" w:eastAsia="方正仿宋_GBK" w:cs="Times New Roman"/>
          <w:b w:val="0"/>
          <w:bCs w:val="0"/>
          <w:spacing w:val="-4"/>
        </w:rPr>
        <w:t>般公共预算财政拨款项目支出决算表</w:t>
      </w:r>
      <w:bookmarkEnd w:id="90"/>
      <w:bookmarkEnd w:id="91"/>
    </w:p>
    <w:p w14:paraId="79D86AD7">
      <w:pPr>
        <w:pStyle w:val="4"/>
        <w:spacing w:line="560" w:lineRule="exact"/>
        <w:rPr>
          <w:rFonts w:ascii="Times New Roman" w:hAnsi="Times New Roman" w:eastAsia="方正仿宋_GBK" w:cs="Times New Roman"/>
          <w:spacing w:val="-4"/>
        </w:rPr>
      </w:pPr>
      <w:bookmarkStart w:id="92" w:name="_Toc15396628"/>
      <w:bookmarkStart w:id="93" w:name="_Toc21232"/>
      <w:r>
        <w:rPr>
          <w:rStyle w:val="30"/>
          <w:rFonts w:ascii="Times New Roman" w:hAnsi="Times New Roman" w:eastAsia="方正仿宋_GBK" w:cs="Times New Roman"/>
          <w:b w:val="0"/>
          <w:bCs w:val="0"/>
          <w:spacing w:val="-4"/>
        </w:rPr>
        <w:t>十、</w:t>
      </w:r>
      <w:bookmarkEnd w:id="92"/>
      <w:r>
        <w:rPr>
          <w:rFonts w:ascii="Times New Roman" w:hAnsi="Times New Roman" w:eastAsia="方正仿宋_GBK" w:cs="Times New Roman"/>
          <w:b w:val="0"/>
          <w:spacing w:val="-4"/>
        </w:rPr>
        <w:t>政</w:t>
      </w:r>
      <w:r>
        <w:rPr>
          <w:rStyle w:val="30"/>
          <w:rFonts w:ascii="Times New Roman" w:hAnsi="Times New Roman" w:eastAsia="方正仿宋_GBK" w:cs="Times New Roman"/>
          <w:b w:val="0"/>
          <w:bCs w:val="0"/>
          <w:spacing w:val="-4"/>
        </w:rPr>
        <w:t>府性基金预算财政拨款收入支出决算表</w:t>
      </w:r>
      <w:bookmarkEnd w:id="93"/>
    </w:p>
    <w:p w14:paraId="31E09452">
      <w:pPr>
        <w:pStyle w:val="4"/>
        <w:spacing w:line="560" w:lineRule="exact"/>
        <w:rPr>
          <w:rFonts w:ascii="Times New Roman" w:hAnsi="Times New Roman" w:eastAsia="方正仿宋_GBK" w:cs="Times New Roman"/>
          <w:spacing w:val="-4"/>
        </w:rPr>
      </w:pPr>
      <w:bookmarkStart w:id="94" w:name="_Toc15396629"/>
      <w:bookmarkStart w:id="95" w:name="_Toc2714"/>
      <w:r>
        <w:rPr>
          <w:rStyle w:val="30"/>
          <w:rFonts w:ascii="Times New Roman" w:hAnsi="Times New Roman" w:eastAsia="方正仿宋_GBK" w:cs="Times New Roman"/>
          <w:b w:val="0"/>
          <w:bCs w:val="0"/>
          <w:spacing w:val="-4"/>
        </w:rPr>
        <w:t>十一、</w:t>
      </w:r>
      <w:bookmarkEnd w:id="94"/>
      <w:r>
        <w:rPr>
          <w:rFonts w:ascii="Times New Roman" w:hAnsi="Times New Roman" w:eastAsia="方正仿宋_GBK" w:cs="Times New Roman"/>
          <w:b w:val="0"/>
          <w:spacing w:val="-4"/>
        </w:rPr>
        <w:t>国</w:t>
      </w:r>
      <w:r>
        <w:rPr>
          <w:rStyle w:val="30"/>
          <w:rFonts w:ascii="Times New Roman" w:hAnsi="Times New Roman" w:eastAsia="方正仿宋_GBK" w:cs="Times New Roman"/>
          <w:b w:val="0"/>
          <w:bCs w:val="0"/>
          <w:spacing w:val="-4"/>
        </w:rPr>
        <w:t>有资本经营预算财政拨款收入支出决算表</w:t>
      </w:r>
      <w:bookmarkEnd w:id="95"/>
    </w:p>
    <w:p w14:paraId="2837B2C7">
      <w:pPr>
        <w:pStyle w:val="4"/>
        <w:spacing w:line="560" w:lineRule="exact"/>
        <w:rPr>
          <w:rFonts w:ascii="Times New Roman" w:hAnsi="Times New Roman" w:eastAsia="方正仿宋_GBK" w:cs="Times New Roman"/>
          <w:spacing w:val="-4"/>
        </w:rPr>
      </w:pPr>
      <w:bookmarkStart w:id="96" w:name="_Toc15396630"/>
      <w:bookmarkStart w:id="97" w:name="_Toc20698"/>
      <w:r>
        <w:rPr>
          <w:rStyle w:val="30"/>
          <w:rFonts w:ascii="Times New Roman" w:hAnsi="Times New Roman" w:eastAsia="方正仿宋_GBK" w:cs="Times New Roman"/>
          <w:b w:val="0"/>
          <w:bCs w:val="0"/>
          <w:spacing w:val="-4"/>
        </w:rPr>
        <w:t>十二、</w:t>
      </w:r>
      <w:bookmarkEnd w:id="96"/>
      <w:r>
        <w:rPr>
          <w:rStyle w:val="30"/>
          <w:rFonts w:ascii="Times New Roman" w:hAnsi="Times New Roman" w:eastAsia="方正仿宋_GBK" w:cs="Times New Roman"/>
          <w:b w:val="0"/>
          <w:bCs w:val="0"/>
          <w:spacing w:val="-4"/>
        </w:rPr>
        <w:t>国有资本经营预算财政拨款支出决算表</w:t>
      </w:r>
      <w:bookmarkEnd w:id="97"/>
    </w:p>
    <w:p w14:paraId="6E507D67">
      <w:pPr>
        <w:pStyle w:val="4"/>
        <w:spacing w:line="560" w:lineRule="exact"/>
        <w:rPr>
          <w:rFonts w:ascii="Times New Roman" w:hAnsi="Times New Roman" w:eastAsia="方正仿宋_GBK" w:cs="Times New Roman"/>
          <w:spacing w:val="-4"/>
        </w:rPr>
      </w:pPr>
      <w:bookmarkStart w:id="98" w:name="_Toc15396631"/>
      <w:bookmarkStart w:id="99" w:name="_Toc12559"/>
      <w:r>
        <w:rPr>
          <w:rStyle w:val="30"/>
          <w:rFonts w:ascii="Times New Roman" w:hAnsi="Times New Roman" w:eastAsia="方正仿宋_GBK" w:cs="Times New Roman"/>
          <w:b w:val="0"/>
          <w:bCs w:val="0"/>
          <w:spacing w:val="-4"/>
        </w:rPr>
        <w:t>十三、</w:t>
      </w:r>
      <w:bookmarkEnd w:id="98"/>
      <w:r>
        <w:rPr>
          <w:rStyle w:val="30"/>
          <w:rFonts w:ascii="Times New Roman" w:hAnsi="Times New Roman" w:eastAsia="方正仿宋_GBK" w:cs="Times New Roman"/>
          <w:b w:val="0"/>
          <w:bCs w:val="0"/>
          <w:spacing w:val="-4"/>
        </w:rPr>
        <w:t>财政拨款“三公”经费支出决算表</w:t>
      </w:r>
      <w:bookmarkEnd w:id="99"/>
    </w:p>
    <w:sectPr>
      <w:headerReference r:id="rId3" w:type="default"/>
      <w:footerReference r:id="rId4" w:type="default"/>
      <w:pgSz w:w="11906" w:h="16838"/>
      <w:pgMar w:top="2098" w:right="1474" w:bottom="1985" w:left="1588"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
    <w:altName w:val="Times New Roman"/>
    <w:panose1 w:val="00000000000000000000"/>
    <w:charset w:val="00"/>
    <w:family w:val="roman"/>
    <w:pitch w:val="default"/>
    <w:sig w:usb0="00000000" w:usb1="00000000" w:usb2="00000000" w:usb3="00000000" w:csb0="00000000" w:csb1="00000000"/>
  </w:font>
  <w:font w:name="等线">
    <w:altName w:val="仿宋"/>
    <w:panose1 w:val="00000000000000000000"/>
    <w:charset w:val="86"/>
    <w:family w:val="auto"/>
    <w:pitch w:val="default"/>
    <w:sig w:usb0="00000000" w:usb1="00000000" w:usb2="00000016" w:usb3="00000000" w:csb0="0004000F" w:csb1="00000000"/>
  </w:font>
  <w:font w:name="Courier New">
    <w:altName w:val="Times New Roman"/>
    <w:panose1 w:val="02070309020205020404"/>
    <w:charset w:val="00"/>
    <w:family w:val="modern"/>
    <w:pitch w:val="default"/>
    <w:sig w:usb0="00000000" w:usb1="00000000" w:usb2="00000009" w:usb3="00000000" w:csb0="000001FF" w:csb1="00000000"/>
  </w:font>
  <w:font w:name="微软雅黑">
    <w:altName w:val="黑体"/>
    <w:panose1 w:val="020B0503020204020204"/>
    <w:charset w:val="86"/>
    <w:family w:val="swiss"/>
    <w:pitch w:val="default"/>
    <w:sig w:usb0="00000000" w:usb1="00000000" w:usb2="00000016" w:usb3="00000000" w:csb0="0004001F" w:csb1="00000000"/>
  </w:font>
  <w:font w:name="Helvetica Neue">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altName w:val="Times New Roman"/>
    <w:panose1 w:val="020B0604020202020204"/>
    <w:charset w:val="86"/>
    <w:family w:val="swiss"/>
    <w:pitch w:val="default"/>
    <w:sig w:usb0="00000000" w:usb1="00000000"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BD52C4C">
        <w:pPr>
          <w:pStyle w:val="10"/>
          <w:jc w:val="center"/>
        </w:pPr>
        <w:r>
          <w:fldChar w:fldCharType="begin"/>
        </w:r>
        <w:r>
          <w:instrText xml:space="preserve">PAGE   \* MERGEFORMAT</w:instrText>
        </w:r>
        <w:r>
          <w:fldChar w:fldCharType="separate"/>
        </w:r>
        <w:r>
          <w:rPr>
            <w:lang w:val="zh-CN"/>
          </w:rPr>
          <w:t>2</w:t>
        </w:r>
        <w:r>
          <w:rPr>
            <w:lang w:val="zh-CN"/>
          </w:rPr>
          <w:fldChar w:fldCharType="end"/>
        </w:r>
      </w:p>
    </w:sdtContent>
  </w:sdt>
  <w:p w14:paraId="046B8F93">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5C5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M3NTgzNWJkYzhlOGExMDI3MDM0YjI3ODA4ZjA4MWQifQ=="/>
  </w:docVars>
  <w:rsids>
    <w:rsidRoot w:val="00F1361C"/>
    <w:rsid w:val="000073C9"/>
    <w:rsid w:val="0002019B"/>
    <w:rsid w:val="000215C0"/>
    <w:rsid w:val="000222C6"/>
    <w:rsid w:val="0002549F"/>
    <w:rsid w:val="000422E1"/>
    <w:rsid w:val="000468DB"/>
    <w:rsid w:val="000473C1"/>
    <w:rsid w:val="0005128C"/>
    <w:rsid w:val="00055C41"/>
    <w:rsid w:val="000642A1"/>
    <w:rsid w:val="0006487A"/>
    <w:rsid w:val="00065F8F"/>
    <w:rsid w:val="00067A45"/>
    <w:rsid w:val="00070A43"/>
    <w:rsid w:val="000768F2"/>
    <w:rsid w:val="00077AC3"/>
    <w:rsid w:val="000863C4"/>
    <w:rsid w:val="0009184B"/>
    <w:rsid w:val="00094236"/>
    <w:rsid w:val="0009593C"/>
    <w:rsid w:val="00097322"/>
    <w:rsid w:val="000A6A92"/>
    <w:rsid w:val="000B047F"/>
    <w:rsid w:val="000B1A8E"/>
    <w:rsid w:val="000B2063"/>
    <w:rsid w:val="000B5923"/>
    <w:rsid w:val="000B5A48"/>
    <w:rsid w:val="000B6FF3"/>
    <w:rsid w:val="000C1DAC"/>
    <w:rsid w:val="000C3467"/>
    <w:rsid w:val="000C3CA6"/>
    <w:rsid w:val="000D1267"/>
    <w:rsid w:val="000D1D50"/>
    <w:rsid w:val="000D2E0B"/>
    <w:rsid w:val="000D54A4"/>
    <w:rsid w:val="000D5782"/>
    <w:rsid w:val="000D692B"/>
    <w:rsid w:val="000E6613"/>
    <w:rsid w:val="000E7119"/>
    <w:rsid w:val="000F191C"/>
    <w:rsid w:val="000F24A7"/>
    <w:rsid w:val="000F6A4D"/>
    <w:rsid w:val="00114E9B"/>
    <w:rsid w:val="001224FF"/>
    <w:rsid w:val="00125EDF"/>
    <w:rsid w:val="001262FB"/>
    <w:rsid w:val="00136D0C"/>
    <w:rsid w:val="00137D0C"/>
    <w:rsid w:val="00142216"/>
    <w:rsid w:val="00144D6A"/>
    <w:rsid w:val="001466E5"/>
    <w:rsid w:val="0014729F"/>
    <w:rsid w:val="0015694D"/>
    <w:rsid w:val="001570A7"/>
    <w:rsid w:val="00157BAB"/>
    <w:rsid w:val="001654D1"/>
    <w:rsid w:val="00174518"/>
    <w:rsid w:val="0018106D"/>
    <w:rsid w:val="00185972"/>
    <w:rsid w:val="001877A7"/>
    <w:rsid w:val="00191536"/>
    <w:rsid w:val="00196687"/>
    <w:rsid w:val="001B5E53"/>
    <w:rsid w:val="001B6557"/>
    <w:rsid w:val="001B7D59"/>
    <w:rsid w:val="001C0962"/>
    <w:rsid w:val="001C22CB"/>
    <w:rsid w:val="001C285C"/>
    <w:rsid w:val="001D270E"/>
    <w:rsid w:val="001D3C46"/>
    <w:rsid w:val="001D42AF"/>
    <w:rsid w:val="001D7531"/>
    <w:rsid w:val="001E2FF1"/>
    <w:rsid w:val="001E5EDA"/>
    <w:rsid w:val="001E737D"/>
    <w:rsid w:val="001F0592"/>
    <w:rsid w:val="001F2FE0"/>
    <w:rsid w:val="001F7506"/>
    <w:rsid w:val="002006CD"/>
    <w:rsid w:val="00200AA7"/>
    <w:rsid w:val="00202B36"/>
    <w:rsid w:val="00204B7A"/>
    <w:rsid w:val="00204CDE"/>
    <w:rsid w:val="0021101A"/>
    <w:rsid w:val="00211EF7"/>
    <w:rsid w:val="00216255"/>
    <w:rsid w:val="00217081"/>
    <w:rsid w:val="00220536"/>
    <w:rsid w:val="002266CF"/>
    <w:rsid w:val="002273C3"/>
    <w:rsid w:val="00235629"/>
    <w:rsid w:val="002451E2"/>
    <w:rsid w:val="00247B82"/>
    <w:rsid w:val="00256D1B"/>
    <w:rsid w:val="00260C38"/>
    <w:rsid w:val="002616C0"/>
    <w:rsid w:val="00265372"/>
    <w:rsid w:val="002662AA"/>
    <w:rsid w:val="00280496"/>
    <w:rsid w:val="002826CA"/>
    <w:rsid w:val="0028594D"/>
    <w:rsid w:val="00294DC9"/>
    <w:rsid w:val="00295495"/>
    <w:rsid w:val="002A2B69"/>
    <w:rsid w:val="002A31DE"/>
    <w:rsid w:val="002A6002"/>
    <w:rsid w:val="002A7ECF"/>
    <w:rsid w:val="002B2613"/>
    <w:rsid w:val="002C1BE4"/>
    <w:rsid w:val="002C77B1"/>
    <w:rsid w:val="002D6A29"/>
    <w:rsid w:val="002D6D05"/>
    <w:rsid w:val="002E4B58"/>
    <w:rsid w:val="002F1818"/>
    <w:rsid w:val="002F48DA"/>
    <w:rsid w:val="002F567B"/>
    <w:rsid w:val="00305DB3"/>
    <w:rsid w:val="00320DA3"/>
    <w:rsid w:val="003216A9"/>
    <w:rsid w:val="0032562E"/>
    <w:rsid w:val="00326D45"/>
    <w:rsid w:val="00330161"/>
    <w:rsid w:val="00335974"/>
    <w:rsid w:val="00335A74"/>
    <w:rsid w:val="003424AC"/>
    <w:rsid w:val="00344137"/>
    <w:rsid w:val="0034603A"/>
    <w:rsid w:val="0036561B"/>
    <w:rsid w:val="0037013F"/>
    <w:rsid w:val="00376EB3"/>
    <w:rsid w:val="00380C92"/>
    <w:rsid w:val="003A484F"/>
    <w:rsid w:val="003A4883"/>
    <w:rsid w:val="003A530D"/>
    <w:rsid w:val="003A6C02"/>
    <w:rsid w:val="003B0BE0"/>
    <w:rsid w:val="003B0C1B"/>
    <w:rsid w:val="003B688C"/>
    <w:rsid w:val="003C0291"/>
    <w:rsid w:val="003C2774"/>
    <w:rsid w:val="003C39AE"/>
    <w:rsid w:val="003C7B60"/>
    <w:rsid w:val="003D0C0F"/>
    <w:rsid w:val="003D1FB2"/>
    <w:rsid w:val="003D25BC"/>
    <w:rsid w:val="003D66DA"/>
    <w:rsid w:val="003E1310"/>
    <w:rsid w:val="003E6F55"/>
    <w:rsid w:val="003F77FA"/>
    <w:rsid w:val="00406254"/>
    <w:rsid w:val="00412FD7"/>
    <w:rsid w:val="004223DE"/>
    <w:rsid w:val="00434489"/>
    <w:rsid w:val="00437085"/>
    <w:rsid w:val="00443880"/>
    <w:rsid w:val="0044546D"/>
    <w:rsid w:val="004464F4"/>
    <w:rsid w:val="004465AD"/>
    <w:rsid w:val="00446E63"/>
    <w:rsid w:val="004512D3"/>
    <w:rsid w:val="00455CCC"/>
    <w:rsid w:val="00462769"/>
    <w:rsid w:val="00467094"/>
    <w:rsid w:val="00471401"/>
    <w:rsid w:val="004733CC"/>
    <w:rsid w:val="00473F31"/>
    <w:rsid w:val="0048263A"/>
    <w:rsid w:val="00482A23"/>
    <w:rsid w:val="00487DDF"/>
    <w:rsid w:val="00487E5D"/>
    <w:rsid w:val="0049655A"/>
    <w:rsid w:val="004A711F"/>
    <w:rsid w:val="004B0BE8"/>
    <w:rsid w:val="004B199D"/>
    <w:rsid w:val="004B2C15"/>
    <w:rsid w:val="004B430A"/>
    <w:rsid w:val="004B4690"/>
    <w:rsid w:val="004C1C11"/>
    <w:rsid w:val="004C47EC"/>
    <w:rsid w:val="004E0A2D"/>
    <w:rsid w:val="004E206B"/>
    <w:rsid w:val="004E60D2"/>
    <w:rsid w:val="004E6DF7"/>
    <w:rsid w:val="004F0FBD"/>
    <w:rsid w:val="004F76D1"/>
    <w:rsid w:val="00500CEF"/>
    <w:rsid w:val="00505A47"/>
    <w:rsid w:val="00512FDA"/>
    <w:rsid w:val="00513901"/>
    <w:rsid w:val="00520DA0"/>
    <w:rsid w:val="00522D66"/>
    <w:rsid w:val="00525AE3"/>
    <w:rsid w:val="00525E15"/>
    <w:rsid w:val="00534C2A"/>
    <w:rsid w:val="005448B2"/>
    <w:rsid w:val="00555AFB"/>
    <w:rsid w:val="0055624B"/>
    <w:rsid w:val="00565C45"/>
    <w:rsid w:val="005664BB"/>
    <w:rsid w:val="00566FFA"/>
    <w:rsid w:val="005736D9"/>
    <w:rsid w:val="0057481D"/>
    <w:rsid w:val="00577C1C"/>
    <w:rsid w:val="00582B1C"/>
    <w:rsid w:val="005841E9"/>
    <w:rsid w:val="0058486E"/>
    <w:rsid w:val="00585B33"/>
    <w:rsid w:val="00586B58"/>
    <w:rsid w:val="0059014D"/>
    <w:rsid w:val="0059218F"/>
    <w:rsid w:val="00593BE7"/>
    <w:rsid w:val="005A0FB0"/>
    <w:rsid w:val="005A3123"/>
    <w:rsid w:val="005B5C64"/>
    <w:rsid w:val="005B67C6"/>
    <w:rsid w:val="005C1195"/>
    <w:rsid w:val="005C5337"/>
    <w:rsid w:val="005C6BD0"/>
    <w:rsid w:val="005D1C8B"/>
    <w:rsid w:val="005D468D"/>
    <w:rsid w:val="005D5CED"/>
    <w:rsid w:val="005D7D8C"/>
    <w:rsid w:val="005E57A1"/>
    <w:rsid w:val="005F1A4C"/>
    <w:rsid w:val="00605688"/>
    <w:rsid w:val="00606EC8"/>
    <w:rsid w:val="006070AF"/>
    <w:rsid w:val="00607E6C"/>
    <w:rsid w:val="006101B1"/>
    <w:rsid w:val="00614E44"/>
    <w:rsid w:val="0062270A"/>
    <w:rsid w:val="00622830"/>
    <w:rsid w:val="00623DA0"/>
    <w:rsid w:val="00630AEF"/>
    <w:rsid w:val="006325F8"/>
    <w:rsid w:val="00633463"/>
    <w:rsid w:val="00634C9A"/>
    <w:rsid w:val="0063595A"/>
    <w:rsid w:val="006440E4"/>
    <w:rsid w:val="00646337"/>
    <w:rsid w:val="0066263A"/>
    <w:rsid w:val="0066343B"/>
    <w:rsid w:val="00664777"/>
    <w:rsid w:val="0067280B"/>
    <w:rsid w:val="006748A4"/>
    <w:rsid w:val="006752EB"/>
    <w:rsid w:val="00681A31"/>
    <w:rsid w:val="00683E73"/>
    <w:rsid w:val="00685C9D"/>
    <w:rsid w:val="00697434"/>
    <w:rsid w:val="006A108F"/>
    <w:rsid w:val="006A3141"/>
    <w:rsid w:val="006A5BF2"/>
    <w:rsid w:val="006A5E34"/>
    <w:rsid w:val="006B0D6E"/>
    <w:rsid w:val="006B2422"/>
    <w:rsid w:val="006B2B9A"/>
    <w:rsid w:val="006B4851"/>
    <w:rsid w:val="006B57E8"/>
    <w:rsid w:val="006C1937"/>
    <w:rsid w:val="006C27AF"/>
    <w:rsid w:val="006D1C28"/>
    <w:rsid w:val="006D5E85"/>
    <w:rsid w:val="006D7498"/>
    <w:rsid w:val="006F020C"/>
    <w:rsid w:val="007062B1"/>
    <w:rsid w:val="007104BB"/>
    <w:rsid w:val="00710CF5"/>
    <w:rsid w:val="00710E66"/>
    <w:rsid w:val="007127B7"/>
    <w:rsid w:val="007140EB"/>
    <w:rsid w:val="00716CB0"/>
    <w:rsid w:val="0071798E"/>
    <w:rsid w:val="007416B6"/>
    <w:rsid w:val="00744A46"/>
    <w:rsid w:val="0074586D"/>
    <w:rsid w:val="00746F48"/>
    <w:rsid w:val="00747638"/>
    <w:rsid w:val="00750453"/>
    <w:rsid w:val="00754029"/>
    <w:rsid w:val="0075404D"/>
    <w:rsid w:val="007564DF"/>
    <w:rsid w:val="0076182A"/>
    <w:rsid w:val="00767B7E"/>
    <w:rsid w:val="0077547E"/>
    <w:rsid w:val="007770C3"/>
    <w:rsid w:val="00784D24"/>
    <w:rsid w:val="00785FBA"/>
    <w:rsid w:val="00786E4A"/>
    <w:rsid w:val="007875EB"/>
    <w:rsid w:val="00790884"/>
    <w:rsid w:val="007912A7"/>
    <w:rsid w:val="0079426B"/>
    <w:rsid w:val="00796C02"/>
    <w:rsid w:val="007A47A3"/>
    <w:rsid w:val="007B7F26"/>
    <w:rsid w:val="007C3B6D"/>
    <w:rsid w:val="007C79E7"/>
    <w:rsid w:val="007D1682"/>
    <w:rsid w:val="007D312A"/>
    <w:rsid w:val="007D3F19"/>
    <w:rsid w:val="007D76B0"/>
    <w:rsid w:val="007E23B0"/>
    <w:rsid w:val="007E23E5"/>
    <w:rsid w:val="007E5488"/>
    <w:rsid w:val="007F1991"/>
    <w:rsid w:val="007F2C2F"/>
    <w:rsid w:val="007F2F10"/>
    <w:rsid w:val="007F55FC"/>
    <w:rsid w:val="007F5665"/>
    <w:rsid w:val="007F5B24"/>
    <w:rsid w:val="00800112"/>
    <w:rsid w:val="00813348"/>
    <w:rsid w:val="00816691"/>
    <w:rsid w:val="008253BB"/>
    <w:rsid w:val="0083050A"/>
    <w:rsid w:val="0083706E"/>
    <w:rsid w:val="008408F6"/>
    <w:rsid w:val="00841B06"/>
    <w:rsid w:val="008423A5"/>
    <w:rsid w:val="008453A2"/>
    <w:rsid w:val="00850625"/>
    <w:rsid w:val="00853718"/>
    <w:rsid w:val="00855221"/>
    <w:rsid w:val="00860645"/>
    <w:rsid w:val="008611F6"/>
    <w:rsid w:val="00864DB3"/>
    <w:rsid w:val="00871F71"/>
    <w:rsid w:val="00872FD8"/>
    <w:rsid w:val="008732F8"/>
    <w:rsid w:val="008771F7"/>
    <w:rsid w:val="00881A65"/>
    <w:rsid w:val="00884F2E"/>
    <w:rsid w:val="00885AF4"/>
    <w:rsid w:val="008939CD"/>
    <w:rsid w:val="00894A63"/>
    <w:rsid w:val="008A02FF"/>
    <w:rsid w:val="008A03AB"/>
    <w:rsid w:val="008A16A8"/>
    <w:rsid w:val="008B768C"/>
    <w:rsid w:val="008C1C82"/>
    <w:rsid w:val="008C304F"/>
    <w:rsid w:val="008C4DB1"/>
    <w:rsid w:val="008C4EAF"/>
    <w:rsid w:val="008C5176"/>
    <w:rsid w:val="008C7FD0"/>
    <w:rsid w:val="008D5E25"/>
    <w:rsid w:val="008E1DE7"/>
    <w:rsid w:val="008E2385"/>
    <w:rsid w:val="008E707C"/>
    <w:rsid w:val="008E712B"/>
    <w:rsid w:val="008E716C"/>
    <w:rsid w:val="008F55AF"/>
    <w:rsid w:val="008F6B7E"/>
    <w:rsid w:val="00900B08"/>
    <w:rsid w:val="00902155"/>
    <w:rsid w:val="00902FA3"/>
    <w:rsid w:val="00906C54"/>
    <w:rsid w:val="00913336"/>
    <w:rsid w:val="00923564"/>
    <w:rsid w:val="0092392E"/>
    <w:rsid w:val="00925F03"/>
    <w:rsid w:val="00925F46"/>
    <w:rsid w:val="009315F9"/>
    <w:rsid w:val="00931857"/>
    <w:rsid w:val="00933499"/>
    <w:rsid w:val="00935C98"/>
    <w:rsid w:val="00941156"/>
    <w:rsid w:val="009425FA"/>
    <w:rsid w:val="00943DCE"/>
    <w:rsid w:val="00946945"/>
    <w:rsid w:val="009507F1"/>
    <w:rsid w:val="00951248"/>
    <w:rsid w:val="0095152F"/>
    <w:rsid w:val="00954C49"/>
    <w:rsid w:val="00955E37"/>
    <w:rsid w:val="00957B62"/>
    <w:rsid w:val="00965AC9"/>
    <w:rsid w:val="0097099F"/>
    <w:rsid w:val="00971997"/>
    <w:rsid w:val="00971FFC"/>
    <w:rsid w:val="00974776"/>
    <w:rsid w:val="009777C4"/>
    <w:rsid w:val="00982150"/>
    <w:rsid w:val="00982A2B"/>
    <w:rsid w:val="0098660A"/>
    <w:rsid w:val="009931C3"/>
    <w:rsid w:val="00994DDB"/>
    <w:rsid w:val="009A0CFA"/>
    <w:rsid w:val="009B2C43"/>
    <w:rsid w:val="009B4EAE"/>
    <w:rsid w:val="009B7573"/>
    <w:rsid w:val="009C1A18"/>
    <w:rsid w:val="009C22F4"/>
    <w:rsid w:val="009C2A4B"/>
    <w:rsid w:val="009C2E98"/>
    <w:rsid w:val="009C68C6"/>
    <w:rsid w:val="009D3447"/>
    <w:rsid w:val="009D4711"/>
    <w:rsid w:val="009D4D20"/>
    <w:rsid w:val="009E14FA"/>
    <w:rsid w:val="009E1DCE"/>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2D69"/>
    <w:rsid w:val="00A45BB7"/>
    <w:rsid w:val="00A47249"/>
    <w:rsid w:val="00A477AE"/>
    <w:rsid w:val="00A55C35"/>
    <w:rsid w:val="00A56DF2"/>
    <w:rsid w:val="00A56E6E"/>
    <w:rsid w:val="00A67AB5"/>
    <w:rsid w:val="00A73373"/>
    <w:rsid w:val="00A733B2"/>
    <w:rsid w:val="00A741C2"/>
    <w:rsid w:val="00A75100"/>
    <w:rsid w:val="00A751BD"/>
    <w:rsid w:val="00A754AF"/>
    <w:rsid w:val="00A8424D"/>
    <w:rsid w:val="00A8438B"/>
    <w:rsid w:val="00A91760"/>
    <w:rsid w:val="00A93B00"/>
    <w:rsid w:val="00A93C21"/>
    <w:rsid w:val="00AB64C9"/>
    <w:rsid w:val="00AC0843"/>
    <w:rsid w:val="00AC3C6A"/>
    <w:rsid w:val="00AC3CD0"/>
    <w:rsid w:val="00AD2720"/>
    <w:rsid w:val="00AD4812"/>
    <w:rsid w:val="00AD5620"/>
    <w:rsid w:val="00AD594D"/>
    <w:rsid w:val="00AD656B"/>
    <w:rsid w:val="00AD74D1"/>
    <w:rsid w:val="00AD7C1B"/>
    <w:rsid w:val="00AE16BA"/>
    <w:rsid w:val="00AE1EBE"/>
    <w:rsid w:val="00AF0A50"/>
    <w:rsid w:val="00AF10B1"/>
    <w:rsid w:val="00AF6139"/>
    <w:rsid w:val="00AF65E3"/>
    <w:rsid w:val="00B03C9D"/>
    <w:rsid w:val="00B060AE"/>
    <w:rsid w:val="00B10517"/>
    <w:rsid w:val="00B14B27"/>
    <w:rsid w:val="00B14E76"/>
    <w:rsid w:val="00B161B8"/>
    <w:rsid w:val="00B2048C"/>
    <w:rsid w:val="00B23858"/>
    <w:rsid w:val="00B310B9"/>
    <w:rsid w:val="00B32DFC"/>
    <w:rsid w:val="00B35F3F"/>
    <w:rsid w:val="00B36CBB"/>
    <w:rsid w:val="00B425E0"/>
    <w:rsid w:val="00B440AA"/>
    <w:rsid w:val="00B44B70"/>
    <w:rsid w:val="00B51C4A"/>
    <w:rsid w:val="00B53C56"/>
    <w:rsid w:val="00B57DAF"/>
    <w:rsid w:val="00B600E3"/>
    <w:rsid w:val="00B77EA6"/>
    <w:rsid w:val="00B81598"/>
    <w:rsid w:val="00B841F1"/>
    <w:rsid w:val="00B84924"/>
    <w:rsid w:val="00B8530A"/>
    <w:rsid w:val="00B87889"/>
    <w:rsid w:val="00B944D6"/>
    <w:rsid w:val="00BA31C1"/>
    <w:rsid w:val="00BB0299"/>
    <w:rsid w:val="00BB4DF0"/>
    <w:rsid w:val="00BC289F"/>
    <w:rsid w:val="00BC2C39"/>
    <w:rsid w:val="00BC2D50"/>
    <w:rsid w:val="00BC5361"/>
    <w:rsid w:val="00BC5460"/>
    <w:rsid w:val="00BC6B50"/>
    <w:rsid w:val="00BD0E25"/>
    <w:rsid w:val="00BD517A"/>
    <w:rsid w:val="00BF3226"/>
    <w:rsid w:val="00BF5BD6"/>
    <w:rsid w:val="00C03E31"/>
    <w:rsid w:val="00C23989"/>
    <w:rsid w:val="00C33E72"/>
    <w:rsid w:val="00C349B3"/>
    <w:rsid w:val="00C354B2"/>
    <w:rsid w:val="00C35554"/>
    <w:rsid w:val="00C4087C"/>
    <w:rsid w:val="00C42709"/>
    <w:rsid w:val="00C50749"/>
    <w:rsid w:val="00C52575"/>
    <w:rsid w:val="00C533CC"/>
    <w:rsid w:val="00C5652B"/>
    <w:rsid w:val="00C5751C"/>
    <w:rsid w:val="00C61BFC"/>
    <w:rsid w:val="00C62B85"/>
    <w:rsid w:val="00C63118"/>
    <w:rsid w:val="00C639EA"/>
    <w:rsid w:val="00C65438"/>
    <w:rsid w:val="00C66A7B"/>
    <w:rsid w:val="00C67E2E"/>
    <w:rsid w:val="00C71070"/>
    <w:rsid w:val="00C72497"/>
    <w:rsid w:val="00C83B31"/>
    <w:rsid w:val="00C866F8"/>
    <w:rsid w:val="00C87FD8"/>
    <w:rsid w:val="00C91381"/>
    <w:rsid w:val="00C91CBB"/>
    <w:rsid w:val="00C92A97"/>
    <w:rsid w:val="00CB37F4"/>
    <w:rsid w:val="00CB3AAD"/>
    <w:rsid w:val="00CB4C20"/>
    <w:rsid w:val="00CB4E70"/>
    <w:rsid w:val="00CC09B6"/>
    <w:rsid w:val="00CC666F"/>
    <w:rsid w:val="00CC6BAC"/>
    <w:rsid w:val="00CD1E3F"/>
    <w:rsid w:val="00CD44F4"/>
    <w:rsid w:val="00CE0DA0"/>
    <w:rsid w:val="00CE44F6"/>
    <w:rsid w:val="00CE49DA"/>
    <w:rsid w:val="00CE7B61"/>
    <w:rsid w:val="00D00095"/>
    <w:rsid w:val="00D02775"/>
    <w:rsid w:val="00D11010"/>
    <w:rsid w:val="00D114F0"/>
    <w:rsid w:val="00D20620"/>
    <w:rsid w:val="00D2389D"/>
    <w:rsid w:val="00D254F7"/>
    <w:rsid w:val="00D26091"/>
    <w:rsid w:val="00D2685C"/>
    <w:rsid w:val="00D27958"/>
    <w:rsid w:val="00D27CA3"/>
    <w:rsid w:val="00D34E7C"/>
    <w:rsid w:val="00D34F17"/>
    <w:rsid w:val="00D35489"/>
    <w:rsid w:val="00D36AFE"/>
    <w:rsid w:val="00D3786F"/>
    <w:rsid w:val="00D37E48"/>
    <w:rsid w:val="00D51276"/>
    <w:rsid w:val="00D54B75"/>
    <w:rsid w:val="00D64304"/>
    <w:rsid w:val="00D66FB0"/>
    <w:rsid w:val="00D67A57"/>
    <w:rsid w:val="00D7035F"/>
    <w:rsid w:val="00D71464"/>
    <w:rsid w:val="00D7481C"/>
    <w:rsid w:val="00D74AA9"/>
    <w:rsid w:val="00D75950"/>
    <w:rsid w:val="00D76144"/>
    <w:rsid w:val="00D81F41"/>
    <w:rsid w:val="00DA4E1E"/>
    <w:rsid w:val="00DA634F"/>
    <w:rsid w:val="00DA65AC"/>
    <w:rsid w:val="00DB1913"/>
    <w:rsid w:val="00DC341C"/>
    <w:rsid w:val="00DC410D"/>
    <w:rsid w:val="00DC48A6"/>
    <w:rsid w:val="00DC4B63"/>
    <w:rsid w:val="00DC5A81"/>
    <w:rsid w:val="00DC68CA"/>
    <w:rsid w:val="00DC7CBA"/>
    <w:rsid w:val="00DD73B7"/>
    <w:rsid w:val="00DE12AF"/>
    <w:rsid w:val="00DE79A6"/>
    <w:rsid w:val="00DF06E2"/>
    <w:rsid w:val="00DF28BC"/>
    <w:rsid w:val="00DF34B9"/>
    <w:rsid w:val="00E01053"/>
    <w:rsid w:val="00E07ACF"/>
    <w:rsid w:val="00E22135"/>
    <w:rsid w:val="00E24D17"/>
    <w:rsid w:val="00E308BD"/>
    <w:rsid w:val="00E32E6D"/>
    <w:rsid w:val="00E331A1"/>
    <w:rsid w:val="00E33202"/>
    <w:rsid w:val="00E336A9"/>
    <w:rsid w:val="00E4484D"/>
    <w:rsid w:val="00E472B1"/>
    <w:rsid w:val="00E50624"/>
    <w:rsid w:val="00E52016"/>
    <w:rsid w:val="00E52636"/>
    <w:rsid w:val="00E5285B"/>
    <w:rsid w:val="00E54483"/>
    <w:rsid w:val="00E56832"/>
    <w:rsid w:val="00E568DF"/>
    <w:rsid w:val="00E64269"/>
    <w:rsid w:val="00E71509"/>
    <w:rsid w:val="00E763E7"/>
    <w:rsid w:val="00E82267"/>
    <w:rsid w:val="00E853CE"/>
    <w:rsid w:val="00E867B6"/>
    <w:rsid w:val="00EA010F"/>
    <w:rsid w:val="00EA1A2B"/>
    <w:rsid w:val="00EA7722"/>
    <w:rsid w:val="00EA7E62"/>
    <w:rsid w:val="00EC16BE"/>
    <w:rsid w:val="00ED171F"/>
    <w:rsid w:val="00ED1B63"/>
    <w:rsid w:val="00ED3170"/>
    <w:rsid w:val="00ED3C1F"/>
    <w:rsid w:val="00ED4085"/>
    <w:rsid w:val="00ED420E"/>
    <w:rsid w:val="00ED6FBE"/>
    <w:rsid w:val="00EE2F57"/>
    <w:rsid w:val="00EE413A"/>
    <w:rsid w:val="00EF39C0"/>
    <w:rsid w:val="00EF4C34"/>
    <w:rsid w:val="00EF77C6"/>
    <w:rsid w:val="00F00445"/>
    <w:rsid w:val="00F05438"/>
    <w:rsid w:val="00F07734"/>
    <w:rsid w:val="00F1361C"/>
    <w:rsid w:val="00F156F0"/>
    <w:rsid w:val="00F160C7"/>
    <w:rsid w:val="00F2408F"/>
    <w:rsid w:val="00F240E9"/>
    <w:rsid w:val="00F31A60"/>
    <w:rsid w:val="00F36D8F"/>
    <w:rsid w:val="00F40153"/>
    <w:rsid w:val="00F417B1"/>
    <w:rsid w:val="00F43B4B"/>
    <w:rsid w:val="00F45853"/>
    <w:rsid w:val="00F602DF"/>
    <w:rsid w:val="00F60E70"/>
    <w:rsid w:val="00F61600"/>
    <w:rsid w:val="00F713AA"/>
    <w:rsid w:val="00F754A1"/>
    <w:rsid w:val="00F80704"/>
    <w:rsid w:val="00F81FD9"/>
    <w:rsid w:val="00F841AA"/>
    <w:rsid w:val="00F849DA"/>
    <w:rsid w:val="00F84A94"/>
    <w:rsid w:val="00F87E96"/>
    <w:rsid w:val="00F969B1"/>
    <w:rsid w:val="00FA23E8"/>
    <w:rsid w:val="00FC0CCB"/>
    <w:rsid w:val="00FD3CC1"/>
    <w:rsid w:val="00FF1E02"/>
    <w:rsid w:val="00FF30B4"/>
    <w:rsid w:val="00FF7CB4"/>
    <w:rsid w:val="015975B8"/>
    <w:rsid w:val="02143E91"/>
    <w:rsid w:val="047665F4"/>
    <w:rsid w:val="05201E66"/>
    <w:rsid w:val="065F7326"/>
    <w:rsid w:val="066E0107"/>
    <w:rsid w:val="06BEB689"/>
    <w:rsid w:val="07996F6E"/>
    <w:rsid w:val="0A2032A3"/>
    <w:rsid w:val="0F98263C"/>
    <w:rsid w:val="101860EC"/>
    <w:rsid w:val="10C055FF"/>
    <w:rsid w:val="117619C8"/>
    <w:rsid w:val="118107EC"/>
    <w:rsid w:val="13D50BC4"/>
    <w:rsid w:val="16BB723D"/>
    <w:rsid w:val="18C16528"/>
    <w:rsid w:val="1B7FEF4E"/>
    <w:rsid w:val="1BE8440E"/>
    <w:rsid w:val="1D155CEE"/>
    <w:rsid w:val="1F8EDCA8"/>
    <w:rsid w:val="1FF35744"/>
    <w:rsid w:val="207F6CC4"/>
    <w:rsid w:val="23860B96"/>
    <w:rsid w:val="240371BF"/>
    <w:rsid w:val="27832B82"/>
    <w:rsid w:val="29FD04D3"/>
    <w:rsid w:val="2C8A61B5"/>
    <w:rsid w:val="2D680CB5"/>
    <w:rsid w:val="2DF04E50"/>
    <w:rsid w:val="2F040D46"/>
    <w:rsid w:val="319F7F4E"/>
    <w:rsid w:val="3304709D"/>
    <w:rsid w:val="369A1EC7"/>
    <w:rsid w:val="36AA5135"/>
    <w:rsid w:val="376D39B2"/>
    <w:rsid w:val="37E16F03"/>
    <w:rsid w:val="38D469F0"/>
    <w:rsid w:val="3ABE0411"/>
    <w:rsid w:val="3BB507FC"/>
    <w:rsid w:val="3D98207C"/>
    <w:rsid w:val="3E78745D"/>
    <w:rsid w:val="41414D8E"/>
    <w:rsid w:val="44E268DA"/>
    <w:rsid w:val="484C3812"/>
    <w:rsid w:val="486D0D12"/>
    <w:rsid w:val="4A627F82"/>
    <w:rsid w:val="4B0E749A"/>
    <w:rsid w:val="4B4F25DA"/>
    <w:rsid w:val="4BE068DB"/>
    <w:rsid w:val="4C1B039F"/>
    <w:rsid w:val="4D4F6C18"/>
    <w:rsid w:val="4D577224"/>
    <w:rsid w:val="4E58548F"/>
    <w:rsid w:val="4EAB630A"/>
    <w:rsid w:val="4ECE2238"/>
    <w:rsid w:val="537E6D0A"/>
    <w:rsid w:val="556074CC"/>
    <w:rsid w:val="59414613"/>
    <w:rsid w:val="5AF92295"/>
    <w:rsid w:val="5BBF769B"/>
    <w:rsid w:val="5CD71FC4"/>
    <w:rsid w:val="62E540F8"/>
    <w:rsid w:val="6324615B"/>
    <w:rsid w:val="641C11D6"/>
    <w:rsid w:val="67114552"/>
    <w:rsid w:val="67DDACCF"/>
    <w:rsid w:val="6C4A05C8"/>
    <w:rsid w:val="6C7DE502"/>
    <w:rsid w:val="6D360F25"/>
    <w:rsid w:val="6E7E3605"/>
    <w:rsid w:val="6EE6F66A"/>
    <w:rsid w:val="6F047A1D"/>
    <w:rsid w:val="6FF5CC65"/>
    <w:rsid w:val="6FF5D2EC"/>
    <w:rsid w:val="715C0E4B"/>
    <w:rsid w:val="72734D90"/>
    <w:rsid w:val="73AD73D5"/>
    <w:rsid w:val="73B6EB34"/>
    <w:rsid w:val="744731E5"/>
    <w:rsid w:val="76E3355F"/>
    <w:rsid w:val="778769C8"/>
    <w:rsid w:val="79EE5BA4"/>
    <w:rsid w:val="7A894339"/>
    <w:rsid w:val="7BB732AE"/>
    <w:rsid w:val="7EEF11D3"/>
    <w:rsid w:val="7F3B8996"/>
    <w:rsid w:val="7F5D3A53"/>
    <w:rsid w:val="7F75C66B"/>
    <w:rsid w:val="7F991B42"/>
    <w:rsid w:val="7FA30C79"/>
    <w:rsid w:val="7FB383D2"/>
    <w:rsid w:val="7FB7269E"/>
    <w:rsid w:val="7FBAE45D"/>
    <w:rsid w:val="7FC96657"/>
    <w:rsid w:val="975EC432"/>
    <w:rsid w:val="A8D7B6DB"/>
    <w:rsid w:val="D8D6DB89"/>
    <w:rsid w:val="DB6F4CAB"/>
    <w:rsid w:val="DEFF979F"/>
    <w:rsid w:val="DF6F9789"/>
    <w:rsid w:val="DFE3BECB"/>
    <w:rsid w:val="EFEFAC16"/>
    <w:rsid w:val="EFFD6462"/>
    <w:rsid w:val="FF3E6E5D"/>
    <w:rsid w:val="FFFE9AE8"/>
    <w:rsid w:val="FFFEB4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link w:val="51"/>
    <w:qFormat/>
    <w:uiPriority w:val="0"/>
    <w:rPr>
      <w:rFonts w:ascii="宋体" w:hAnsi="Calibri"/>
    </w:r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FollowedHyperlink"/>
    <w:basedOn w:val="16"/>
    <w:semiHidden/>
    <w:unhideWhenUsed/>
    <w:qFormat/>
    <w:uiPriority w:val="99"/>
    <w:rPr>
      <w:color w:val="954F72"/>
      <w:u w:val="single"/>
    </w:rPr>
  </w:style>
  <w:style w:type="character" w:styleId="19">
    <w:name w:val="Hyperlink"/>
    <w:basedOn w:val="16"/>
    <w:unhideWhenUsed/>
    <w:qFormat/>
    <w:uiPriority w:val="99"/>
    <w:rPr>
      <w:color w:val="0000FF" w:themeColor="hyperlink"/>
      <w:u w:val="single"/>
    </w:rPr>
  </w:style>
  <w:style w:type="paragraph" w:customStyle="1" w:styleId="20">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6"/>
    <w:link w:val="3"/>
    <w:qFormat/>
    <w:uiPriority w:val="9"/>
    <w:rPr>
      <w:rFonts w:ascii="Times New Roman" w:hAnsi="Times New Roman"/>
      <w:b/>
      <w:bCs/>
      <w:kern w:val="44"/>
      <w:sz w:val="44"/>
      <w:szCs w:val="44"/>
    </w:rPr>
  </w:style>
  <w:style w:type="character" w:customStyle="1" w:styleId="30">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批注框文本 Char"/>
    <w:basedOn w:val="16"/>
    <w:link w:val="9"/>
    <w:semiHidden/>
    <w:qFormat/>
    <w:uiPriority w:val="99"/>
    <w:rPr>
      <w:rFonts w:ascii="Times New Roman" w:hAnsi="Times New Roman"/>
      <w:kern w:val="2"/>
      <w:sz w:val="18"/>
      <w:szCs w:val="18"/>
    </w:rPr>
  </w:style>
  <w:style w:type="character" w:customStyle="1" w:styleId="33">
    <w:name w:val="标题 3 Char"/>
    <w:basedOn w:val="16"/>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OC 标题3"/>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0">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1">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2">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5">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7">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8">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49">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0">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1">
    <w:name w:val="纯文本 Char"/>
    <w:basedOn w:val="16"/>
    <w:link w:val="8"/>
    <w:qFormat/>
    <w:uiPriority w:val="0"/>
    <w:rPr>
      <w:rFonts w:ascii="宋体" w:hAnsi="Calibri" w:eastAsia="宋体" w:cs="Times New Roman"/>
      <w:kern w:val="2"/>
      <w:sz w:val="21"/>
      <w:szCs w:val="24"/>
    </w:rPr>
  </w:style>
  <w:style w:type="paragraph" w:customStyle="1" w:styleId="52">
    <w:name w:val="默认"/>
    <w:qFormat/>
    <w:uiPriority w:val="0"/>
    <w:pPr>
      <w:jc w:val="both"/>
    </w:pPr>
    <w:rPr>
      <w:rFonts w:ascii="Helvetica Neue" w:hAnsi="Helvetica Neue" w:eastAsia="Arial Unicode MS" w:cs="Arial Unicode MS"/>
      <w:kern w:val="2"/>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en-US" altLang="zh-CN"/>
              <a:t>2025</a:t>
            </a:r>
            <a:r>
              <a:rPr lang="zh-CN" altLang="en-US"/>
              <a:t>年度收、支总决算</a:t>
            </a:r>
            <a:endParaRPr lang="zh-CN" altLang="en-US"/>
          </a:p>
        </c:rich>
      </c:tx>
      <c:layout/>
      <c:overlay val="0"/>
    </c:title>
    <c:autoTitleDeleted val="0"/>
    <c:plotArea>
      <c:layout/>
      <c:barChart>
        <c:barDir val="col"/>
        <c:grouping val="stacked"/>
        <c:varyColors val="0"/>
        <c:ser>
          <c:idx val="0"/>
          <c:order val="0"/>
          <c:tx>
            <c:strRef>
              <c:f>Sheet1!$B$1</c:f>
              <c:strCache>
                <c:ptCount val="1"/>
                <c:pt idx="0">
                  <c:v>收支总决算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755.32</c:v>
                </c:pt>
                <c:pt idx="1">
                  <c:v>1056.77</c:v>
                </c:pt>
              </c:numCache>
            </c:numRef>
          </c:val>
        </c:ser>
        <c:dLbls>
          <c:showLegendKey val="0"/>
          <c:showVal val="1"/>
          <c:showCatName val="0"/>
          <c:showSerName val="0"/>
          <c:showPercent val="0"/>
          <c:showBubbleSize val="0"/>
        </c:dLbls>
        <c:gapWidth val="150"/>
        <c:overlap val="100"/>
        <c:axId val="142687616"/>
        <c:axId val="142726272"/>
      </c:barChart>
      <c:catAx>
        <c:axId val="14268761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2726272"/>
        <c:crosses val="autoZero"/>
        <c:auto val="1"/>
        <c:lblAlgn val="ctr"/>
        <c:lblOffset val="100"/>
        <c:noMultiLvlLbl val="0"/>
      </c:catAx>
      <c:valAx>
        <c:axId val="1427262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2687616"/>
        <c:crosses val="autoZero"/>
        <c:crossBetween val="between"/>
        <c:majorUnit val="500"/>
      </c:valAx>
    </c:plotArea>
    <c:plotVisOnly val="1"/>
    <c:dispBlanksAs val="gap"/>
    <c:showDLblsOverMax val="0"/>
    <c:extLst>
      <c:ext uri="{0b15fc19-7d7d-44ad-8c2d-2c3a37ce22c3}">
        <chartProps xmlns="https://web.wps.cn/et/2018/main" chartId="{1dcd15f6-f04d-43d2-9a18-7fa8d0f03c31}"/>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年度收入决算数</a:t>
            </a:r>
            <a:endParaRPr lang="zh-CN" altLang="en-US"/>
          </a:p>
        </c:rich>
      </c:tx>
      <c:layout/>
      <c:overlay val="0"/>
    </c:title>
    <c:autoTitleDeleted val="0"/>
    <c:plotArea>
      <c:layout/>
      <c:pieChart>
        <c:varyColors val="1"/>
        <c:ser>
          <c:idx val="0"/>
          <c:order val="0"/>
          <c:tx>
            <c:strRef>
              <c:f>Sheet1!$B$1</c:f>
              <c:strCache>
                <c:ptCount val="1"/>
                <c:pt idx="0">
                  <c:v>销售额</c:v>
                </c:pt>
              </c:strCache>
            </c:strRef>
          </c:tx>
          <c:explosion val="0"/>
          <c:dPt>
            <c:idx val="0"/>
            <c:bubble3D val="0"/>
          </c:dPt>
          <c:dLbls>
            <c:dLbl>
              <c:idx val="0"/>
              <c:layout/>
              <c:tx>
                <c:rich>
                  <a:bodyPr rot="0" spcFirstLastPara="0" vertOverflow="ellipsis" vert="horz" wrap="square" lIns="38100" tIns="19050" rIns="38100" bIns="19050" anchor="ctr" anchorCtr="1"/>
                  <a:lstStyle/>
                  <a:p>
                    <a:fld id="{387c5509-c3b2-41f9-a40d-a14aca7d7d12}"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General</c:formatCode>
                <c:ptCount val="1"/>
                <c:pt idx="0">
                  <c:v>1056.77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1c5a75a-a345-4640-891f-17dd787588ca}"/>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en-US" altLang="zh-CN"/>
              <a:t>2025</a:t>
            </a:r>
            <a:r>
              <a:rPr lang="zh-CN" altLang="en-US"/>
              <a:t>年度支出决算数</a:t>
            </a:r>
            <a:endParaRPr lang="zh-CN" altLang="en-US"/>
          </a:p>
        </c:rich>
      </c:tx>
      <c:layout/>
      <c:overlay val="0"/>
    </c:title>
    <c:autoTitleDeleted val="0"/>
    <c:plotArea>
      <c:layout/>
      <c:pieChart>
        <c:varyColors val="1"/>
        <c:ser>
          <c:idx val="0"/>
          <c:order val="0"/>
          <c:tx>
            <c:strRef>
              <c:f>Sheet1!$B$1</c:f>
              <c:strCache>
                <c:ptCount val="1"/>
                <c:pt idx="0">
                  <c:v>支出分类</c:v>
                </c:pt>
              </c:strCache>
            </c:strRef>
          </c:tx>
          <c:explosion val="0"/>
          <c:dPt>
            <c:idx val="0"/>
            <c:bubble3D val="0"/>
          </c:dPt>
          <c:dPt>
            <c:idx val="1"/>
            <c:bubble3D val="0"/>
          </c:dPt>
          <c:dLbls>
            <c:dLbl>
              <c:idx val="0"/>
              <c:layout/>
              <c:tx>
                <c:rich>
                  <a:bodyPr rot="0" spcFirstLastPara="0" vertOverflow="ellipsis" vert="horz" wrap="square" lIns="38100" tIns="19050" rIns="38100" bIns="19050" anchor="ctr" anchorCtr="1"/>
                  <a:lstStyle/>
                  <a:p>
                    <a:fld id="{7529f9e9-bba1-4654-a9b3-f5598e58edc2}"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d9b51624-a74a-4894-8112-99f5b20cb9bf}"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15:layout>
                    <c:manualLayout>
                      <c:w val="0.134392180818571"/>
                      <c:h val="0.172947131608549"/>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732.05</c:v>
                </c:pt>
                <c:pt idx="1">
                  <c:v>324.72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373ba932-cd67-4a07-b6fa-4a3822959904}"/>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zh-CN" altLang="en-US"/>
              <a:t>财政拨款收入、支出总体情况</a:t>
            </a:r>
            <a:endParaRPr lang="zh-CN" altLang="en-US"/>
          </a:p>
        </c:rich>
      </c:tx>
      <c:layout>
        <c:manualLayout>
          <c:xMode val="edge"/>
          <c:yMode val="edge"/>
          <c:x val="0.154526627509046"/>
          <c:y val="0.0448574174943928"/>
        </c:manualLayout>
      </c:layout>
      <c:overlay val="0"/>
    </c:title>
    <c:autoTitleDeleted val="0"/>
    <c:plotArea>
      <c:layout/>
      <c:barChart>
        <c:barDir val="col"/>
        <c:grouping val="stacked"/>
        <c:varyColors val="0"/>
        <c:ser>
          <c:idx val="0"/>
          <c:order val="0"/>
          <c:tx>
            <c:strRef>
              <c:f>Sheet1!$B$1</c:f>
              <c:strCache>
                <c:ptCount val="1"/>
                <c:pt idx="0">
                  <c:v>收支总决算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755.32</c:v>
                </c:pt>
                <c:pt idx="1">
                  <c:v>1056.77</c:v>
                </c:pt>
              </c:numCache>
            </c:numRef>
          </c:val>
        </c:ser>
        <c:dLbls>
          <c:showLegendKey val="0"/>
          <c:showVal val="1"/>
          <c:showCatName val="0"/>
          <c:showSerName val="0"/>
          <c:showPercent val="0"/>
          <c:showBubbleSize val="0"/>
        </c:dLbls>
        <c:gapWidth val="150"/>
        <c:overlap val="100"/>
        <c:axId val="147430784"/>
        <c:axId val="147436672"/>
      </c:barChart>
      <c:catAx>
        <c:axId val="14743078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7436672"/>
        <c:crosses val="autoZero"/>
        <c:auto val="1"/>
        <c:lblAlgn val="ctr"/>
        <c:lblOffset val="100"/>
        <c:noMultiLvlLbl val="0"/>
      </c:catAx>
      <c:valAx>
        <c:axId val="1474366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7430784"/>
        <c:crosses val="autoZero"/>
        <c:crossBetween val="between"/>
        <c:majorUnit val="500"/>
      </c:valAx>
    </c:plotArea>
    <c:plotVisOnly val="1"/>
    <c:dispBlanksAs val="gap"/>
    <c:showDLblsOverMax val="0"/>
    <c:extLst>
      <c:ext uri="{0b15fc19-7d7d-44ad-8c2d-2c3a37ce22c3}">
        <chartProps xmlns="https://web.wps.cn/et/2018/main" chartId="{73bb64d1-1cae-43fd-b10f-4beda96faf6b}"/>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a:t>一般公共预算财政拨款支出决算变动情况</a:t>
            </a:r>
            <a:endParaRPr lang="zh-CN" altLang="en-US" sz="1400"/>
          </a:p>
        </c:rich>
      </c:tx>
      <c:layout/>
      <c:overlay val="0"/>
    </c:title>
    <c:autoTitleDeleted val="0"/>
    <c:plotArea>
      <c:layout/>
      <c:barChart>
        <c:barDir val="col"/>
        <c:grouping val="stacked"/>
        <c:varyColors val="0"/>
        <c:ser>
          <c:idx val="0"/>
          <c:order val="0"/>
          <c:tx>
            <c:strRef>
              <c:f>Sheet1!$B$1</c:f>
              <c:strCache>
                <c:ptCount val="1"/>
                <c:pt idx="0">
                  <c:v>一般公共预算财政拨款支出决算变动情况</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2"/>
                <c:pt idx="0">
                  <c:v>2024年</c:v>
                </c:pt>
                <c:pt idx="1">
                  <c:v>2025年</c:v>
                </c:pt>
              </c:strCache>
            </c:strRef>
          </c:cat>
          <c:val>
            <c:numRef>
              <c:f>Sheet1!$B$2:$B$5</c:f>
              <c:numCache>
                <c:formatCode>General</c:formatCode>
                <c:ptCount val="4"/>
                <c:pt idx="0">
                  <c:v>755.32</c:v>
                </c:pt>
                <c:pt idx="1">
                  <c:v>1056.77</c:v>
                </c:pt>
              </c:numCache>
            </c:numRef>
          </c:val>
        </c:ser>
        <c:dLbls>
          <c:showLegendKey val="0"/>
          <c:showVal val="1"/>
          <c:showCatName val="0"/>
          <c:showSerName val="0"/>
          <c:showPercent val="0"/>
          <c:showBubbleSize val="0"/>
        </c:dLbls>
        <c:gapWidth val="150"/>
        <c:overlap val="100"/>
        <c:axId val="147493632"/>
        <c:axId val="147495168"/>
      </c:barChart>
      <c:catAx>
        <c:axId val="14749363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7495168"/>
        <c:crosses val="autoZero"/>
        <c:auto val="1"/>
        <c:lblAlgn val="ctr"/>
        <c:lblOffset val="100"/>
        <c:noMultiLvlLbl val="0"/>
      </c:catAx>
      <c:valAx>
        <c:axId val="14749516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7493632"/>
        <c:crosses val="autoZero"/>
        <c:crossBetween val="between"/>
      </c:valAx>
    </c:plotArea>
    <c:plotVisOnly val="1"/>
    <c:dispBlanksAs val="gap"/>
    <c:showDLblsOverMax val="0"/>
    <c:extLst>
      <c:ext uri="{0b15fc19-7d7d-44ad-8c2d-2c3a37ce22c3}">
        <chartProps xmlns="https://web.wps.cn/et/2018/main" chartId="{0546f5f2-ceb2-4c77-998f-fa4e2dd9956e}"/>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a:t>
            </a:r>
            <a:endParaRPr lang="zh-CN" altLang="en-US" sz="1200"/>
          </a:p>
        </c:rich>
      </c:tx>
      <c:layout/>
      <c:overlay val="0"/>
    </c:title>
    <c:autoTitleDeleted val="0"/>
    <c:plotArea>
      <c:layout/>
      <c:pieChart>
        <c:varyColors val="1"/>
        <c:ser>
          <c:idx val="0"/>
          <c:order val="0"/>
          <c:tx>
            <c:strRef>
              <c:f>Sheet1!$B$1</c:f>
              <c:strCache>
                <c:ptCount val="1"/>
                <c:pt idx="0">
                  <c:v>一般公共预算财政拨款支出</c:v>
                </c:pt>
              </c:strCache>
            </c:strRef>
          </c:tx>
          <c:explosion val="25"/>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fld id="{2718ca0e-c899-4448-bac7-15ed03980458}"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ddbb33cf-2637-4d31-bf94-2d3480065cdb}"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724bad9c-e173-48ab-b75c-55b44396614f}"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fld id="{46a2e1fc-72cb-4438-956c-d2e8122e5fb2}"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科学技术支出</c:v>
                </c:pt>
                <c:pt idx="1">
                  <c:v>社会保障和就业支出</c:v>
                </c:pt>
                <c:pt idx="2">
                  <c:v>住房保障支出</c:v>
                </c:pt>
                <c:pt idx="3">
                  <c:v>卫生健康支出</c:v>
                </c:pt>
              </c:strCache>
            </c:strRef>
          </c:cat>
          <c:val>
            <c:numRef>
              <c:f>Sheet1!$B$2:$B$5</c:f>
              <c:numCache>
                <c:formatCode>General</c:formatCode>
                <c:ptCount val="4"/>
                <c:pt idx="0">
                  <c:v>757.12</c:v>
                </c:pt>
                <c:pt idx="1">
                  <c:v>228.61</c:v>
                </c:pt>
                <c:pt idx="2">
                  <c:v>39.07</c:v>
                </c:pt>
                <c:pt idx="3">
                  <c:v>31.97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0ee738fe-6cea-4fa1-b391-cb2bb72730f3}"/>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600"/>
              <a:t>“三公”经费财政拨款支出</a:t>
            </a:r>
            <a:endParaRPr lang="zh-CN" altLang="en-US" sz="1600"/>
          </a:p>
        </c:rich>
      </c:tx>
      <c:layout/>
      <c:overlay val="0"/>
    </c:title>
    <c:autoTitleDeleted val="0"/>
    <c:plotArea>
      <c:layout/>
      <c:pieChart>
        <c:varyColors val="1"/>
        <c:ser>
          <c:idx val="0"/>
          <c:order val="0"/>
          <c:tx>
            <c:strRef>
              <c:f>Sheet1!$B$1</c:f>
              <c:strCache>
                <c:ptCount val="1"/>
                <c:pt idx="0">
                  <c:v>“三公”经费财政拨款支出</c:v>
                </c:pt>
              </c:strCache>
            </c:strRef>
          </c:tx>
          <c:explosion val="0"/>
          <c:dPt>
            <c:idx val="0"/>
            <c:bubble3D val="0"/>
          </c:dPt>
          <c:dPt>
            <c:idx val="1"/>
            <c:bubble3D val="0"/>
          </c:dPt>
          <c:dLbls>
            <c:dLbl>
              <c:idx val="0"/>
              <c:layout>
                <c:manualLayout>
                  <c:x val="-0.0886070297913793"/>
                  <c:y val="0.149865023556547"/>
                </c:manualLayout>
              </c:layout>
              <c:tx>
                <c:rich>
                  <a:bodyPr rot="0" spcFirstLastPara="0" vertOverflow="ellipsis" vert="horz" wrap="square" lIns="38100" tIns="19050" rIns="38100" bIns="19050" anchor="ctr" anchorCtr="1"/>
                  <a:lstStyle/>
                  <a:p>
                    <a:fld id="{6ea19244-cc73-40dc-a991-71ff0cdeae2f}"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be49f86a-549a-4990-aa11-59089daa78bc}"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公务接待费</c:v>
                </c:pt>
                <c:pt idx="1">
                  <c:v>公车运行维护费</c:v>
                </c:pt>
              </c:strCache>
            </c:strRef>
          </c:cat>
          <c:val>
            <c:numRef>
              <c:f>Sheet1!$B$2:$B$3</c:f>
              <c:numCache>
                <c:formatCode>General</c:formatCode>
                <c:ptCount val="2"/>
                <c:pt idx="0">
                  <c:v>0.99</c:v>
                </c:pt>
                <c:pt idx="1">
                  <c:v>4.82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225da1a-8303-49e8-86f0-7ba278bdd4d4}"/>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5413</Words>
  <Characters>2321</Characters>
  <Lines>19</Lines>
  <Paragraphs>15</Paragraphs>
  <TotalTime>3</TotalTime>
  <ScaleCrop>false</ScaleCrop>
  <LinksUpToDate>false</LinksUpToDate>
  <CharactersWithSpaces>7719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2025-09-05T11:41:00Z</dcterms:created>
  <dc:creator>曹颖</dc:creator>
  <cp:lastModifiedBy>user</cp:lastModifiedBy>
  <cp:lastPrinted>2026-09-07T09:50:00Z</cp:lastPrinted>
  <dcterms:modified xsi:type="dcterms:W3CDTF">2026-09-10T09:33:31Z</dcterms:modified>
  <dc:title>四川省***</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50BA3B7136414D82997DA2A01FCB10D9_12</vt:lpwstr>
  </property>
  <property fmtid="{D5CDD505-2E9C-101B-9397-08002B2CF9AE}" pid="4" name="KSOTemplateDocerSaveRecord">
    <vt:lpwstr>eyJoZGlkIjoiY2E2OWIxNDU0OWYyOTRmMWY5NWRmMzI4ZjYxNmUxMjIiLCJ1c2VySWQiOiIxMTUwMDQwMTM4In0=</vt:lpwstr>
  </property>
</Properties>
</file>